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🕹 V100-CONTROL — Code d’Autorité Cognitive</w:t>
      </w:r>
    </w:p>
    <w:p>
      <w:pPr>
        <w:pStyle w:val="Heading2"/>
      </w:pPr>
      <w:r>
        <w:t>🔹 Fonction</w:t>
      </w:r>
    </w:p>
    <w:p>
      <w:r>
        <w:t>Reprendre le contrôle du mental en cas de surcharge, confusion ou influences externes.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Recentrage : respiration + recadrage + resynchronisation</w:t>
      </w:r>
    </w:p>
    <w:p>
      <w:pPr>
        <w:pStyle w:val="ListBullet"/>
      </w:pPr>
      <w:r>
        <w:t>• Filtre les intrusions parasites</w:t>
      </w:r>
    </w:p>
    <w:p>
      <w:pPr>
        <w:pStyle w:val="ListBullet"/>
      </w:pPr>
      <w:r>
        <w:t>• Rappelle l’intention source du moment</w:t>
      </w:r>
    </w:p>
    <w:p>
      <w:pPr>
        <w:pStyle w:val="Heading2"/>
      </w:pPr>
      <w:r>
        <w:t>🔹 Formule</w:t>
      </w:r>
    </w:p>
    <w:p>
      <w:r>
        <w:t>« Je reprends la main. Ici, c’est moi qui pilote.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