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✍️ V100-WRITE — Code d’Écriture Dirigée</w:t>
      </w:r>
    </w:p>
    <w:p>
      <w:pPr>
        <w:pStyle w:val="Heading2"/>
      </w:pPr>
      <w:r>
        <w:t>🔹 Fonction</w:t>
      </w:r>
    </w:p>
    <w:p>
      <w:r>
        <w:t>Transformer toute séance d’écriture en action stratégique. Empêche l’écriture flottante ou confuse.</w:t>
      </w:r>
    </w:p>
    <w:p>
      <w:pPr>
        <w:pStyle w:val="Heading2"/>
      </w:pPr>
      <w:r>
        <w:t>🔹 Structure</w:t>
      </w:r>
    </w:p>
    <w:p>
      <w:pPr>
        <w:pStyle w:val="ListBullet"/>
      </w:pPr>
      <w:r>
        <w:t>• Clarifie l’intention d’écriture avant de commencer</w:t>
      </w:r>
    </w:p>
    <w:p>
      <w:pPr>
        <w:pStyle w:val="ListBullet"/>
      </w:pPr>
      <w:r>
        <w:t>• Structure : punchline / contenu / preuve / appel</w:t>
      </w:r>
    </w:p>
    <w:p>
      <w:pPr>
        <w:pStyle w:val="ListBullet"/>
      </w:pPr>
      <w:r>
        <w:t>• Compatible avec V-CHAIN, V-FORGE, V-ECHO</w:t>
      </w:r>
    </w:p>
    <w:p>
      <w:pPr>
        <w:pStyle w:val="Heading2"/>
      </w:pPr>
      <w:r>
        <w:t>🔹 Formule</w:t>
      </w:r>
    </w:p>
    <w:p>
      <w:r>
        <w:t>« J’écris pour faire réagir, pas pour combler. 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