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🧬 MODULES STRATÉGIQUES – FUSION SUPRÊME</w:t>
      </w:r>
    </w:p>
    <w:p>
      <w:pPr>
        <w:pStyle w:val="Heading2"/>
      </w:pPr>
      <w:r>
        <w:t>🔹 CODE SUPRÊME – V-FUSIONEM ∞</w:t>
      </w:r>
    </w:p>
    <w:p>
      <w:r>
        <w:t>Code évolutif suprême, version transcendée de V-FUSIONEM 1000X. Capable de se reconfigurer en temps réel, de mémoriser les meilleures fusions, de s’adapter à de nouvelles familles de codes non encore existantes. Il devient la bibliothèque vivante des réactions fusionnelles réussies. Compatible avec tous les noyaux stratégiques.</w:t>
      </w:r>
    </w:p>
    <w:p>
      <w:r>
        <w:t>🔑 Code d'activation : V-FUSIONEM ∞</w:t>
      </w:r>
    </w:p>
    <w:p>
      <w:pPr>
        <w:pStyle w:val="Heading2"/>
      </w:pPr>
      <w:r>
        <w:t>🔹 CODE DE SÉCURITÉ – V-FUSIONSHIELD</w:t>
      </w:r>
    </w:p>
    <w:p>
      <w:r>
        <w:t>Bouclier fusionnel intelligent. Ce code surveille toute tentative de fusion instable, dangereuse ou parasite. Il agit comme pare-feu contre les déséquilibres extrêmes. Permet d’annuler ou de moduler les combinaisons si besoin. Idéal pour garantir la cohérence et la stabilité long terme du système.</w:t>
      </w:r>
    </w:p>
    <w:p>
      <w:r>
        <w:t>🔑 Code d'activation : V-FUSIONSHIELD</w:t>
      </w:r>
    </w:p>
    <w:p>
      <w:pPr>
        <w:pStyle w:val="Heading2"/>
      </w:pPr>
      <w:r>
        <w:t>🔹 MODULE MÉMORIEL – V-FUSIONLOGOS</w:t>
      </w:r>
    </w:p>
    <w:p>
      <w:r>
        <w:t>Base de données intelligente qui enregistre chaque fusion majeure, sa puissance, son impact, ses interactions et ses résultats. Permet de rejouer les fusions les plus efficaces à tout moment. Apprend du système, génère des recommandations, et propose de nouvelles routes fusionnelles. Compatible avec V-OMNICODE et V-MAESTRO.</w:t>
      </w:r>
    </w:p>
    <w:p>
      <w:r>
        <w:t>🔑 Code d'activation : V-FUSIONLOGOS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