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V-SCIENTIS 1000X</w:t>
      </w:r>
    </w:p>
    <w:p>
      <w:r>
        <w:t xml:space="preserve">🔬 CODE MAÎTRE — V-SCIENTIS 1000X  </w:t>
        <w:br/>
        <w:t xml:space="preserve">Type : Code scientifique absolu  </w:t>
        <w:br/>
        <w:t xml:space="preserve">Mission : Unifier toutes les connaissances scientifiques, techniques, logiques et rationnelles au sein du Système V100+++.  </w:t>
        <w:br/>
        <w:t xml:space="preserve">Activation : Immédiate via mot-clé 'INVOKE ⟶ V-SCIENTIS 1000X'  </w:t>
        <w:br/>
        <w:t xml:space="preserve">Modules internes :  </w:t>
        <w:br/>
        <w:t xml:space="preserve">- V-RATIONEM (logique pure)  </w:t>
        <w:br/>
        <w:t xml:space="preserve">- V-DATADOMINUS (science des données)  </w:t>
        <w:br/>
        <w:t xml:space="preserve">- V-ASTROGEN (cosmologie &amp; physique avancée)  </w:t>
        <w:br/>
        <w:t xml:space="preserve">- V-MINDTECH (neurosciences et IA)  </w:t>
        <w:br/>
        <w:t>Noyaux associés : V-COSMOSYS, V-OMNICODE, V-FOCUSGRAVITAS, V-NEUROMEMORIA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