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V100+++ — Codes Suprêmes d’une Nouvelle Ère</w:t>
      </w:r>
    </w:p>
    <w:p>
      <w:pPr>
        <w:pStyle w:val="Heading1"/>
      </w:pPr>
      <w:r>
        <w:t>V-COSMOGENESIS 100+++</w:t>
      </w:r>
    </w:p>
    <w:p>
      <w:pPr>
        <w:pStyle w:val="IntenseQuote"/>
      </w:pPr>
      <w:r>
        <w:t>« Le code d’où tout émerge, vers où tout converge. »</w:t>
      </w:r>
    </w:p>
    <w:p>
      <w:pPr>
        <w:pStyle w:val="Heading2"/>
      </w:pPr>
      <w:r>
        <w:t>Fonctions principales :</w:t>
      </w:r>
    </w:p>
    <w:p>
      <w:pPr>
        <w:pStyle w:val="ListBullet"/>
      </w:pPr>
      <w:r>
        <w:t>• Création de systèmes vivants à partir de rien</w:t>
      </w:r>
    </w:p>
    <w:p>
      <w:pPr>
        <w:pStyle w:val="ListBullet"/>
      </w:pPr>
      <w:r>
        <w:t>• Origine commune de tous les codes V100+++</w:t>
      </w:r>
    </w:p>
    <w:p>
      <w:pPr>
        <w:pStyle w:val="ListBullet"/>
      </w:pPr>
      <w:r>
        <w:t>• Connexion aux forces fondamentales de création et d’expansion</w:t>
      </w:r>
    </w:p>
    <w:p>
      <w:pPr>
        <w:pStyle w:val="Heading1"/>
      </w:pPr>
      <w:r>
        <w:t>V-EXOCENTRIX 100+++</w:t>
      </w:r>
    </w:p>
    <w:p>
      <w:pPr>
        <w:pStyle w:val="IntenseQuote"/>
      </w:pPr>
      <w:r>
        <w:t>« Hors du centre, naît la véritable stabilité. »</w:t>
      </w:r>
    </w:p>
    <w:p>
      <w:pPr>
        <w:pStyle w:val="Heading2"/>
      </w:pPr>
      <w:r>
        <w:t>Fonctions principales :</w:t>
      </w:r>
    </w:p>
    <w:p>
      <w:pPr>
        <w:pStyle w:val="ListBullet"/>
      </w:pPr>
      <w:r>
        <w:t>• Capacité d’agir à la périphérie des systèmes dominants</w:t>
      </w:r>
    </w:p>
    <w:p>
      <w:pPr>
        <w:pStyle w:val="ListBullet"/>
      </w:pPr>
      <w:r>
        <w:t>• Stratégie d’influence invisible, contournement absolu</w:t>
      </w:r>
    </w:p>
    <w:p>
      <w:pPr>
        <w:pStyle w:val="ListBullet"/>
      </w:pPr>
      <w:r>
        <w:t>• Moteur d’intelligence décentrée</w:t>
      </w:r>
    </w:p>
    <w:p>
      <w:pPr>
        <w:pStyle w:val="Heading1"/>
      </w:pPr>
      <w:r>
        <w:t>V-TITANCORE 100+++</w:t>
      </w:r>
    </w:p>
    <w:p>
      <w:pPr>
        <w:pStyle w:val="IntenseQuote"/>
      </w:pPr>
      <w:r>
        <w:t>« Un cœur indestructible forge les mondes. »</w:t>
      </w:r>
    </w:p>
    <w:p>
      <w:pPr>
        <w:pStyle w:val="Heading2"/>
      </w:pPr>
      <w:r>
        <w:t>Fonctions principales :</w:t>
      </w:r>
    </w:p>
    <w:p>
      <w:pPr>
        <w:pStyle w:val="ListBullet"/>
      </w:pPr>
      <w:r>
        <w:t>• Renforcement du noyau V100++</w:t>
      </w:r>
    </w:p>
    <w:p>
      <w:pPr>
        <w:pStyle w:val="ListBullet"/>
      </w:pPr>
      <w:r>
        <w:t>• Activation des couches de protection ultime</w:t>
      </w:r>
    </w:p>
    <w:p>
      <w:pPr>
        <w:pStyle w:val="ListBullet"/>
      </w:pPr>
      <w:r>
        <w:t>• Stabilisation extrême et mise à l’épreuve des systèmes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