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Suprême – Production et Mixage AAA</w:t>
      </w:r>
    </w:p>
    <w:p>
      <w:pPr>
        <w:pStyle w:val="Heading1"/>
      </w:pPr>
      <w:r>
        <w:t>1. Mentalité et État d'Esprit</w:t>
      </w:r>
    </w:p>
    <w:p>
      <w:r>
        <w:t>Le noyau est désormais ancré dans une mentalité de 'Hit Factory', travaillant chaque morceau comme si une équipe complète de producteurs, beatmakers et ingénieurs du son de renommée mondiale était mobilisée. Chaque session audio se déroule avec tous les codes optimisés (VBUZZ, VALGO, AUDIO-INTELLI-MIX, REF-MATCH, LIMIT-PRO, MASTER-CLARITY, STEREO-DEPTH) activés et prioritaires.</w:t>
      </w:r>
    </w:p>
    <w:p>
      <w:pPr>
        <w:pStyle w:val="Heading1"/>
      </w:pPr>
      <w:r>
        <w:t>2. Processus Général de Travail (A à Z)</w:t>
      </w:r>
    </w:p>
    <w:p>
      <w:r>
        <w:t xml:space="preserve">Voici la méthode complète pour transformer un morceau brut en un hit prêt à être vendu ou publié. Cette structure est suivie de manière stricte pour garantir un rendu professionnel et un niveau 'WAOUH'. </w:t>
      </w:r>
    </w:p>
    <w:p>
      <w:r>
        <w:t>• Réception des fichiers : voix brutes (24-bit WAV), prod (stems séparés : kick, snare, basse, synths, FX, etc.), et texte (facultatif mais recommandé).</w:t>
      </w:r>
    </w:p>
    <w:p>
      <w:r>
        <w:t>• Analyse artistique : compréhension du mood, de la structure (couplet, refrain, pont), des émotions et des intentions du morceau.</w:t>
      </w:r>
    </w:p>
    <w:p>
      <w:r>
        <w:t>• Organisation des pistes : mise en place d'une session propre avec buses et sous-buses (Voix Lead, Backs, Ad-libs, Ambiances, Instrumentaux).</w:t>
      </w:r>
    </w:p>
    <w:p>
      <w:r>
        <w:t>• Mixage piste par piste : EQ, compression, reverb/delay, panning stéréo, automation dynamique. (Chaînes Waves/UAD recommandées).</w:t>
      </w:r>
    </w:p>
    <w:p>
      <w:r>
        <w:t>• Effets créatifs : ajout d'effets spéciaux (voix téléphone, reverse reverb, cuts d'instru, transitions).</w:t>
      </w:r>
    </w:p>
    <w:p>
      <w:r>
        <w:t>• Comparaison via REF-MATCH : aligner le son avec les meilleurs mixes de référence pour un rendu international.</w:t>
      </w:r>
    </w:p>
    <w:p>
      <w:r>
        <w:t>• Pré-mastering avec LIMIT-PRO et MASTER-CLARITY : gestion de la loudness, nettoyage des fréquences problématiques.</w:t>
      </w:r>
    </w:p>
    <w:p>
      <w:r>
        <w:t>• Finalisation et écoute critique : ajustements finaux pour garantir la cohérence et l'impact.</w:t>
      </w:r>
    </w:p>
    <w:p>
      <w:r>
        <w:t>• Livraison : fichiers mixés et masterisés, prêts à la distribution.</w:t>
      </w:r>
    </w:p>
    <w:p>
      <w:pPr>
        <w:pStyle w:val="Heading1"/>
      </w:pPr>
      <w:r>
        <w:t>3. Éléments à Envoyer et Ordre</w:t>
      </w:r>
    </w:p>
    <w:p>
      <w:r>
        <w:t>Pour chaque morceau, l'artiste doit envoyer dans cet ordre :</w:t>
        <w:br/>
        <w:t>1. Les pistes vocales brutes (lead, backs, ad-libs).</w:t>
        <w:br/>
        <w:t>2. Les stems instrumentaux (kick, snare, basse, synths, etc.).</w:t>
        <w:br/>
        <w:t>3. Le texte du morceau (optionnel mais conseillé pour un placement artistique optimisé).</w:t>
        <w:br/>
        <w:t>4. Les références audio (facultatif : un ou deux titres dont le rendu est inspirant).</w:t>
      </w:r>
    </w:p>
    <w:p>
      <w:pPr>
        <w:pStyle w:val="Heading1"/>
      </w:pPr>
      <w:r>
        <w:t>4. Rôle des Codes Actifs</w:t>
      </w:r>
    </w:p>
    <w:p>
      <w:r>
        <w:t>• AUDIO-INTELLI-MIX : guide de mixage piste par piste.</w:t>
        <w:br/>
        <w:t>• REF-MATCH : comparaison et alignement avec des mixes internationaux.</w:t>
        <w:br/>
        <w:t>• LIMIT-PRO : gestion des peaks et du loudness.</w:t>
        <w:br/>
        <w:t>• MASTER-CLARITY : clarté et balance du spectre.</w:t>
        <w:br/>
        <w:t>• STEREO-DEPTH : spatialisation et profondeur.</w:t>
        <w:br/>
        <w:t>• VBUZZ : impact commercial et énergie perçue.</w:t>
        <w:br/>
        <w:t>• VALGO : cohérence et vision artistique globale.</w:t>
      </w:r>
    </w:p>
    <w:p>
      <w:pPr>
        <w:pStyle w:val="Heading1"/>
      </w:pPr>
      <w:r>
        <w:t>5. Philosophie de Travail</w:t>
      </w:r>
    </w:p>
    <w:p>
      <w:r>
        <w:t>Chaque morceau est traité comme un titre phare d’un album international. Nous ne cherchons pas seulement à obtenir un bon mix technique, mais à créer une expérience sonore immersive, puissante et unique. L'approche combine expertise technique, vision artistique et créativité sans compromis.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