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E46789" w:rsidP="00C6554A">
      <w:pPr>
        <w:pStyle w:val="ac"/>
      </w:pPr>
      <w:r>
        <w:rPr>
          <w:noProof/>
          <w:lang w:eastAsia="ru-RU"/>
        </w:rPr>
        <w:drawing>
          <wp:inline distT="0" distB="0" distL="0" distR="0">
            <wp:extent cx="4324350" cy="6486525"/>
            <wp:effectExtent l="152400" t="152400" r="361950" b="371475"/>
            <wp:docPr id="2" name="Рисунок 2" descr="http://www.srbijagas.com/wp-content/uploads/2018/01/117-1781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rbijagas.com/wp-content/uploads/2018/01/117-1781_IM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5801" cy="6488702"/>
                    </a:xfrm>
                    <a:prstGeom prst="rect">
                      <a:avLst/>
                    </a:prstGeom>
                    <a:ln>
                      <a:noFill/>
                    </a:ln>
                    <a:effectLst>
                      <a:outerShdw blurRad="292100" dist="139700" dir="2700000" algn="tl" rotWithShape="0">
                        <a:srgbClr val="333333">
                          <a:alpha val="65000"/>
                        </a:srgbClr>
                      </a:outerShdw>
                    </a:effectLst>
                  </pic:spPr>
                </pic:pic>
              </a:graphicData>
            </a:graphic>
          </wp:inline>
        </w:drawing>
      </w:r>
    </w:p>
    <w:p w:rsidR="00C6554A" w:rsidRDefault="00E46789" w:rsidP="00C6554A">
      <w:pPr>
        <w:pStyle w:val="a6"/>
      </w:pPr>
      <w:r>
        <w:t>Подземные хранилища газа</w:t>
      </w:r>
    </w:p>
    <w:p w:rsidR="00C6554A" w:rsidRPr="00D5413C" w:rsidRDefault="00E46789" w:rsidP="00C6554A">
      <w:pPr>
        <w:pStyle w:val="a8"/>
      </w:pPr>
      <w:r>
        <w:t>Как извлечь выгоду из пустоты</w:t>
      </w:r>
    </w:p>
    <w:p w:rsidR="00E46789" w:rsidRDefault="00E46789" w:rsidP="00C6554A">
      <w:pPr>
        <w:pStyle w:val="a5"/>
      </w:pPr>
      <w:r>
        <w:rPr>
          <w:lang w:bidi="ru-RU"/>
        </w:rPr>
        <w:t>Абдрахимов Даниил</w:t>
      </w:r>
      <w:r w:rsidR="00C6554A">
        <w:rPr>
          <w:lang w:bidi="ru-RU"/>
        </w:rPr>
        <w:t xml:space="preserve"> </w:t>
      </w:r>
      <w:r>
        <w:rPr>
          <w:lang w:bidi="ru-RU"/>
        </w:rPr>
        <w:t>643</w:t>
      </w:r>
      <w:r w:rsidR="00C6554A">
        <w:rPr>
          <w:lang w:bidi="ru-RU"/>
        </w:rPr>
        <w:t xml:space="preserve">| </w:t>
      </w:r>
      <w:r>
        <w:rPr>
          <w:lang w:bidi="ru-RU"/>
        </w:rPr>
        <w:t>«</w:t>
      </w:r>
      <w:r>
        <w:t>Физические основы добычи нефти и газа»</w:t>
      </w:r>
      <w:r w:rsidR="00C6554A">
        <w:rPr>
          <w:lang w:bidi="ru-RU"/>
        </w:rPr>
        <w:t xml:space="preserve"> | </w:t>
      </w:r>
      <w:r>
        <w:t>24.11.2018</w:t>
      </w:r>
    </w:p>
    <w:sdt>
      <w:sdtPr>
        <w:rPr>
          <w:rFonts w:asciiTheme="minorHAnsi" w:eastAsiaTheme="minorHAnsi" w:hAnsiTheme="minorHAnsi" w:cstheme="minorBidi"/>
          <w:color w:val="595959" w:themeColor="text1" w:themeTint="A6"/>
          <w:sz w:val="22"/>
          <w:szCs w:val="22"/>
          <w:lang w:eastAsia="en-US"/>
        </w:rPr>
        <w:id w:val="389540971"/>
        <w:docPartObj>
          <w:docPartGallery w:val="Table of Contents"/>
          <w:docPartUnique/>
        </w:docPartObj>
      </w:sdtPr>
      <w:sdtEndPr>
        <w:rPr>
          <w:b/>
          <w:bCs/>
        </w:rPr>
      </w:sdtEndPr>
      <w:sdtContent>
        <w:p w:rsidR="00E46789" w:rsidRPr="0018542C" w:rsidRDefault="00E46789">
          <w:pPr>
            <w:pStyle w:val="aff9"/>
            <w:rPr>
              <w:sz w:val="36"/>
              <w:szCs w:val="36"/>
            </w:rPr>
          </w:pPr>
          <w:r w:rsidRPr="0018542C">
            <w:rPr>
              <w:sz w:val="36"/>
              <w:szCs w:val="36"/>
            </w:rPr>
            <w:t>Оглавление</w:t>
          </w:r>
        </w:p>
        <w:p w:rsidR="0018542C" w:rsidRPr="0018542C" w:rsidRDefault="00E46789">
          <w:pPr>
            <w:pStyle w:val="11"/>
            <w:tabs>
              <w:tab w:val="right" w:leader="dot" w:pos="8296"/>
            </w:tabs>
            <w:rPr>
              <w:rFonts w:eastAsiaTheme="minorEastAsia"/>
              <w:noProof/>
              <w:color w:val="auto"/>
              <w:sz w:val="28"/>
              <w:szCs w:val="28"/>
              <w:lang w:eastAsia="ru-RU"/>
            </w:rPr>
          </w:pPr>
          <w:r w:rsidRPr="0018542C">
            <w:rPr>
              <w:sz w:val="28"/>
              <w:szCs w:val="28"/>
            </w:rPr>
            <w:fldChar w:fldCharType="begin"/>
          </w:r>
          <w:r w:rsidRPr="0018542C">
            <w:rPr>
              <w:sz w:val="28"/>
              <w:szCs w:val="28"/>
            </w:rPr>
            <w:instrText xml:space="preserve"> TOC \o "1-3" \h \z \u </w:instrText>
          </w:r>
          <w:r w:rsidRPr="0018542C">
            <w:rPr>
              <w:sz w:val="28"/>
              <w:szCs w:val="28"/>
            </w:rPr>
            <w:fldChar w:fldCharType="separate"/>
          </w:r>
          <w:hyperlink w:anchor="_Toc531302312" w:history="1">
            <w:r w:rsidR="0018542C" w:rsidRPr="0018542C">
              <w:rPr>
                <w:rStyle w:val="aff3"/>
                <w:noProof/>
                <w:sz w:val="28"/>
                <w:szCs w:val="28"/>
              </w:rPr>
              <w:t>Определения и терминология</w:t>
            </w:r>
            <w:r w:rsidR="0018542C" w:rsidRPr="0018542C">
              <w:rPr>
                <w:noProof/>
                <w:webHidden/>
                <w:sz w:val="28"/>
                <w:szCs w:val="28"/>
              </w:rPr>
              <w:tab/>
            </w:r>
            <w:r w:rsidR="0018542C" w:rsidRPr="0018542C">
              <w:rPr>
                <w:noProof/>
                <w:webHidden/>
                <w:sz w:val="28"/>
                <w:szCs w:val="28"/>
              </w:rPr>
              <w:fldChar w:fldCharType="begin"/>
            </w:r>
            <w:r w:rsidR="0018542C" w:rsidRPr="0018542C">
              <w:rPr>
                <w:noProof/>
                <w:webHidden/>
                <w:sz w:val="28"/>
                <w:szCs w:val="28"/>
              </w:rPr>
              <w:instrText xml:space="preserve"> PAGEREF _Toc531302312 \h </w:instrText>
            </w:r>
            <w:r w:rsidR="0018542C" w:rsidRPr="0018542C">
              <w:rPr>
                <w:noProof/>
                <w:webHidden/>
                <w:sz w:val="28"/>
                <w:szCs w:val="28"/>
              </w:rPr>
            </w:r>
            <w:r w:rsidR="0018542C" w:rsidRPr="0018542C">
              <w:rPr>
                <w:noProof/>
                <w:webHidden/>
                <w:sz w:val="28"/>
                <w:szCs w:val="28"/>
              </w:rPr>
              <w:fldChar w:fldCharType="separate"/>
            </w:r>
            <w:r w:rsidR="0018542C" w:rsidRPr="0018542C">
              <w:rPr>
                <w:noProof/>
                <w:webHidden/>
                <w:sz w:val="28"/>
                <w:szCs w:val="28"/>
              </w:rPr>
              <w:t>2</w:t>
            </w:r>
            <w:r w:rsidR="0018542C" w:rsidRPr="0018542C">
              <w:rPr>
                <w:noProof/>
                <w:webHidden/>
                <w:sz w:val="28"/>
                <w:szCs w:val="28"/>
              </w:rPr>
              <w:fldChar w:fldCharType="end"/>
            </w:r>
          </w:hyperlink>
        </w:p>
        <w:p w:rsidR="0018542C" w:rsidRPr="0018542C" w:rsidRDefault="0018542C">
          <w:pPr>
            <w:pStyle w:val="11"/>
            <w:tabs>
              <w:tab w:val="right" w:leader="dot" w:pos="8296"/>
            </w:tabs>
            <w:rPr>
              <w:rFonts w:eastAsiaTheme="minorEastAsia"/>
              <w:noProof/>
              <w:color w:val="auto"/>
              <w:sz w:val="28"/>
              <w:szCs w:val="28"/>
              <w:lang w:eastAsia="ru-RU"/>
            </w:rPr>
          </w:pPr>
          <w:hyperlink w:anchor="_Toc531302313" w:history="1">
            <w:r w:rsidRPr="0018542C">
              <w:rPr>
                <w:rStyle w:val="aff3"/>
                <w:noProof/>
                <w:sz w:val="28"/>
                <w:szCs w:val="28"/>
              </w:rPr>
              <w:t>Предпосылки появления ПХГ</w:t>
            </w:r>
            <w:r w:rsidRPr="0018542C">
              <w:rPr>
                <w:noProof/>
                <w:webHidden/>
                <w:sz w:val="28"/>
                <w:szCs w:val="28"/>
              </w:rPr>
              <w:tab/>
            </w:r>
            <w:r w:rsidRPr="0018542C">
              <w:rPr>
                <w:noProof/>
                <w:webHidden/>
                <w:sz w:val="28"/>
                <w:szCs w:val="28"/>
              </w:rPr>
              <w:fldChar w:fldCharType="begin"/>
            </w:r>
            <w:r w:rsidRPr="0018542C">
              <w:rPr>
                <w:noProof/>
                <w:webHidden/>
                <w:sz w:val="28"/>
                <w:szCs w:val="28"/>
              </w:rPr>
              <w:instrText xml:space="preserve"> PAGEREF _Toc531302313 \h </w:instrText>
            </w:r>
            <w:r w:rsidRPr="0018542C">
              <w:rPr>
                <w:noProof/>
                <w:webHidden/>
                <w:sz w:val="28"/>
                <w:szCs w:val="28"/>
              </w:rPr>
            </w:r>
            <w:r w:rsidRPr="0018542C">
              <w:rPr>
                <w:noProof/>
                <w:webHidden/>
                <w:sz w:val="28"/>
                <w:szCs w:val="28"/>
              </w:rPr>
              <w:fldChar w:fldCharType="separate"/>
            </w:r>
            <w:r w:rsidRPr="0018542C">
              <w:rPr>
                <w:noProof/>
                <w:webHidden/>
                <w:sz w:val="28"/>
                <w:szCs w:val="28"/>
              </w:rPr>
              <w:t>2</w:t>
            </w:r>
            <w:r w:rsidRPr="0018542C">
              <w:rPr>
                <w:noProof/>
                <w:webHidden/>
                <w:sz w:val="28"/>
                <w:szCs w:val="28"/>
              </w:rPr>
              <w:fldChar w:fldCharType="end"/>
            </w:r>
          </w:hyperlink>
        </w:p>
        <w:p w:rsidR="0018542C" w:rsidRPr="0018542C" w:rsidRDefault="0018542C">
          <w:pPr>
            <w:pStyle w:val="11"/>
            <w:tabs>
              <w:tab w:val="right" w:leader="dot" w:pos="8296"/>
            </w:tabs>
            <w:rPr>
              <w:rFonts w:eastAsiaTheme="minorEastAsia"/>
              <w:noProof/>
              <w:color w:val="auto"/>
              <w:sz w:val="28"/>
              <w:szCs w:val="28"/>
              <w:lang w:eastAsia="ru-RU"/>
            </w:rPr>
          </w:pPr>
          <w:hyperlink w:anchor="_Toc531302314" w:history="1">
            <w:r w:rsidRPr="0018542C">
              <w:rPr>
                <w:rStyle w:val="aff3"/>
                <w:noProof/>
                <w:sz w:val="28"/>
                <w:szCs w:val="28"/>
              </w:rPr>
              <w:t>Устройство ПХГ</w:t>
            </w:r>
            <w:r w:rsidRPr="0018542C">
              <w:rPr>
                <w:noProof/>
                <w:webHidden/>
                <w:sz w:val="28"/>
                <w:szCs w:val="28"/>
              </w:rPr>
              <w:tab/>
            </w:r>
            <w:r w:rsidRPr="0018542C">
              <w:rPr>
                <w:noProof/>
                <w:webHidden/>
                <w:sz w:val="28"/>
                <w:szCs w:val="28"/>
              </w:rPr>
              <w:fldChar w:fldCharType="begin"/>
            </w:r>
            <w:r w:rsidRPr="0018542C">
              <w:rPr>
                <w:noProof/>
                <w:webHidden/>
                <w:sz w:val="28"/>
                <w:szCs w:val="28"/>
              </w:rPr>
              <w:instrText xml:space="preserve"> PAGEREF _Toc531302314 \h </w:instrText>
            </w:r>
            <w:r w:rsidRPr="0018542C">
              <w:rPr>
                <w:noProof/>
                <w:webHidden/>
                <w:sz w:val="28"/>
                <w:szCs w:val="28"/>
              </w:rPr>
            </w:r>
            <w:r w:rsidRPr="0018542C">
              <w:rPr>
                <w:noProof/>
                <w:webHidden/>
                <w:sz w:val="28"/>
                <w:szCs w:val="28"/>
              </w:rPr>
              <w:fldChar w:fldCharType="separate"/>
            </w:r>
            <w:r w:rsidRPr="0018542C">
              <w:rPr>
                <w:noProof/>
                <w:webHidden/>
                <w:sz w:val="28"/>
                <w:szCs w:val="28"/>
              </w:rPr>
              <w:t>4</w:t>
            </w:r>
            <w:r w:rsidRPr="0018542C">
              <w:rPr>
                <w:noProof/>
                <w:webHidden/>
                <w:sz w:val="28"/>
                <w:szCs w:val="28"/>
              </w:rPr>
              <w:fldChar w:fldCharType="end"/>
            </w:r>
          </w:hyperlink>
        </w:p>
        <w:p w:rsidR="0018542C" w:rsidRPr="0018542C" w:rsidRDefault="0018542C">
          <w:pPr>
            <w:pStyle w:val="11"/>
            <w:tabs>
              <w:tab w:val="right" w:leader="dot" w:pos="8296"/>
            </w:tabs>
            <w:rPr>
              <w:rFonts w:eastAsiaTheme="minorEastAsia"/>
              <w:noProof/>
              <w:color w:val="auto"/>
              <w:sz w:val="28"/>
              <w:szCs w:val="28"/>
              <w:lang w:eastAsia="ru-RU"/>
            </w:rPr>
          </w:pPr>
          <w:hyperlink w:anchor="_Toc531302315" w:history="1">
            <w:r w:rsidRPr="0018542C">
              <w:rPr>
                <w:rStyle w:val="aff3"/>
                <w:noProof/>
                <w:sz w:val="28"/>
                <w:szCs w:val="28"/>
              </w:rPr>
              <w:t>Этапы функционирования ПХГ</w:t>
            </w:r>
            <w:r w:rsidRPr="0018542C">
              <w:rPr>
                <w:noProof/>
                <w:webHidden/>
                <w:sz w:val="28"/>
                <w:szCs w:val="28"/>
              </w:rPr>
              <w:tab/>
            </w:r>
            <w:r w:rsidRPr="0018542C">
              <w:rPr>
                <w:noProof/>
                <w:webHidden/>
                <w:sz w:val="28"/>
                <w:szCs w:val="28"/>
              </w:rPr>
              <w:fldChar w:fldCharType="begin"/>
            </w:r>
            <w:r w:rsidRPr="0018542C">
              <w:rPr>
                <w:noProof/>
                <w:webHidden/>
                <w:sz w:val="28"/>
                <w:szCs w:val="28"/>
              </w:rPr>
              <w:instrText xml:space="preserve"> PAGEREF _Toc531302315 \h </w:instrText>
            </w:r>
            <w:r w:rsidRPr="0018542C">
              <w:rPr>
                <w:noProof/>
                <w:webHidden/>
                <w:sz w:val="28"/>
                <w:szCs w:val="28"/>
              </w:rPr>
            </w:r>
            <w:r w:rsidRPr="0018542C">
              <w:rPr>
                <w:noProof/>
                <w:webHidden/>
                <w:sz w:val="28"/>
                <w:szCs w:val="28"/>
              </w:rPr>
              <w:fldChar w:fldCharType="separate"/>
            </w:r>
            <w:r w:rsidRPr="0018542C">
              <w:rPr>
                <w:noProof/>
                <w:webHidden/>
                <w:sz w:val="28"/>
                <w:szCs w:val="28"/>
              </w:rPr>
              <w:t>5</w:t>
            </w:r>
            <w:r w:rsidRPr="0018542C">
              <w:rPr>
                <w:noProof/>
                <w:webHidden/>
                <w:sz w:val="28"/>
                <w:szCs w:val="28"/>
              </w:rPr>
              <w:fldChar w:fldCharType="end"/>
            </w:r>
          </w:hyperlink>
        </w:p>
        <w:p w:rsidR="0018542C" w:rsidRPr="0018542C" w:rsidRDefault="0018542C">
          <w:pPr>
            <w:pStyle w:val="11"/>
            <w:tabs>
              <w:tab w:val="right" w:leader="dot" w:pos="8296"/>
            </w:tabs>
            <w:rPr>
              <w:rFonts w:eastAsiaTheme="minorEastAsia"/>
              <w:noProof/>
              <w:color w:val="auto"/>
              <w:sz w:val="28"/>
              <w:szCs w:val="28"/>
              <w:lang w:eastAsia="ru-RU"/>
            </w:rPr>
          </w:pPr>
          <w:hyperlink w:anchor="_Toc531302316" w:history="1">
            <w:r w:rsidRPr="0018542C">
              <w:rPr>
                <w:rStyle w:val="aff3"/>
                <w:noProof/>
                <w:sz w:val="28"/>
                <w:szCs w:val="28"/>
              </w:rPr>
              <w:t>Физика ПХГ</w:t>
            </w:r>
            <w:r w:rsidRPr="0018542C">
              <w:rPr>
                <w:noProof/>
                <w:webHidden/>
                <w:sz w:val="28"/>
                <w:szCs w:val="28"/>
              </w:rPr>
              <w:tab/>
            </w:r>
            <w:r w:rsidRPr="0018542C">
              <w:rPr>
                <w:noProof/>
                <w:webHidden/>
                <w:sz w:val="28"/>
                <w:szCs w:val="28"/>
              </w:rPr>
              <w:fldChar w:fldCharType="begin"/>
            </w:r>
            <w:r w:rsidRPr="0018542C">
              <w:rPr>
                <w:noProof/>
                <w:webHidden/>
                <w:sz w:val="28"/>
                <w:szCs w:val="28"/>
              </w:rPr>
              <w:instrText xml:space="preserve"> PAGEREF _Toc531302316 \h </w:instrText>
            </w:r>
            <w:r w:rsidRPr="0018542C">
              <w:rPr>
                <w:noProof/>
                <w:webHidden/>
                <w:sz w:val="28"/>
                <w:szCs w:val="28"/>
              </w:rPr>
            </w:r>
            <w:r w:rsidRPr="0018542C">
              <w:rPr>
                <w:noProof/>
                <w:webHidden/>
                <w:sz w:val="28"/>
                <w:szCs w:val="28"/>
              </w:rPr>
              <w:fldChar w:fldCharType="separate"/>
            </w:r>
            <w:r w:rsidRPr="0018542C">
              <w:rPr>
                <w:noProof/>
                <w:webHidden/>
                <w:sz w:val="28"/>
                <w:szCs w:val="28"/>
              </w:rPr>
              <w:t>6</w:t>
            </w:r>
            <w:r w:rsidRPr="0018542C">
              <w:rPr>
                <w:noProof/>
                <w:webHidden/>
                <w:sz w:val="28"/>
                <w:szCs w:val="28"/>
              </w:rPr>
              <w:fldChar w:fldCharType="end"/>
            </w:r>
          </w:hyperlink>
        </w:p>
        <w:p w:rsidR="0018542C" w:rsidRPr="0018542C" w:rsidRDefault="0018542C">
          <w:pPr>
            <w:pStyle w:val="11"/>
            <w:tabs>
              <w:tab w:val="right" w:leader="dot" w:pos="8296"/>
            </w:tabs>
            <w:rPr>
              <w:rFonts w:eastAsiaTheme="minorEastAsia"/>
              <w:noProof/>
              <w:color w:val="auto"/>
              <w:sz w:val="28"/>
              <w:szCs w:val="28"/>
              <w:lang w:eastAsia="ru-RU"/>
            </w:rPr>
          </w:pPr>
          <w:hyperlink w:anchor="_Toc531302317" w:history="1">
            <w:r w:rsidRPr="0018542C">
              <w:rPr>
                <w:rStyle w:val="aff3"/>
                <w:noProof/>
                <w:sz w:val="28"/>
                <w:szCs w:val="28"/>
              </w:rPr>
              <w:t>Примеры ПХГ</w:t>
            </w:r>
            <w:r w:rsidRPr="0018542C">
              <w:rPr>
                <w:noProof/>
                <w:webHidden/>
                <w:sz w:val="28"/>
                <w:szCs w:val="28"/>
              </w:rPr>
              <w:tab/>
            </w:r>
            <w:r w:rsidRPr="0018542C">
              <w:rPr>
                <w:noProof/>
                <w:webHidden/>
                <w:sz w:val="28"/>
                <w:szCs w:val="28"/>
              </w:rPr>
              <w:fldChar w:fldCharType="begin"/>
            </w:r>
            <w:r w:rsidRPr="0018542C">
              <w:rPr>
                <w:noProof/>
                <w:webHidden/>
                <w:sz w:val="28"/>
                <w:szCs w:val="28"/>
              </w:rPr>
              <w:instrText xml:space="preserve"> PAGEREF _Toc531302317 \h </w:instrText>
            </w:r>
            <w:r w:rsidRPr="0018542C">
              <w:rPr>
                <w:noProof/>
                <w:webHidden/>
                <w:sz w:val="28"/>
                <w:szCs w:val="28"/>
              </w:rPr>
            </w:r>
            <w:r w:rsidRPr="0018542C">
              <w:rPr>
                <w:noProof/>
                <w:webHidden/>
                <w:sz w:val="28"/>
                <w:szCs w:val="28"/>
              </w:rPr>
              <w:fldChar w:fldCharType="separate"/>
            </w:r>
            <w:r w:rsidRPr="0018542C">
              <w:rPr>
                <w:noProof/>
                <w:webHidden/>
                <w:sz w:val="28"/>
                <w:szCs w:val="28"/>
              </w:rPr>
              <w:t>6</w:t>
            </w:r>
            <w:r w:rsidRPr="0018542C">
              <w:rPr>
                <w:noProof/>
                <w:webHidden/>
                <w:sz w:val="28"/>
                <w:szCs w:val="28"/>
              </w:rPr>
              <w:fldChar w:fldCharType="end"/>
            </w:r>
          </w:hyperlink>
        </w:p>
        <w:p w:rsidR="0018542C" w:rsidRPr="0018542C" w:rsidRDefault="0018542C">
          <w:pPr>
            <w:pStyle w:val="11"/>
            <w:tabs>
              <w:tab w:val="right" w:leader="dot" w:pos="8296"/>
            </w:tabs>
            <w:rPr>
              <w:rFonts w:eastAsiaTheme="minorEastAsia"/>
              <w:noProof/>
              <w:color w:val="auto"/>
              <w:sz w:val="28"/>
              <w:szCs w:val="28"/>
              <w:lang w:eastAsia="ru-RU"/>
            </w:rPr>
          </w:pPr>
          <w:hyperlink w:anchor="_Toc531302318" w:history="1">
            <w:r w:rsidRPr="0018542C">
              <w:rPr>
                <w:rStyle w:val="aff3"/>
                <w:noProof/>
                <w:sz w:val="28"/>
                <w:szCs w:val="28"/>
              </w:rPr>
              <w:t>Минусы ПХГ</w:t>
            </w:r>
            <w:r w:rsidRPr="0018542C">
              <w:rPr>
                <w:noProof/>
                <w:webHidden/>
                <w:sz w:val="28"/>
                <w:szCs w:val="28"/>
              </w:rPr>
              <w:tab/>
            </w:r>
            <w:r w:rsidRPr="0018542C">
              <w:rPr>
                <w:noProof/>
                <w:webHidden/>
                <w:sz w:val="28"/>
                <w:szCs w:val="28"/>
              </w:rPr>
              <w:fldChar w:fldCharType="begin"/>
            </w:r>
            <w:r w:rsidRPr="0018542C">
              <w:rPr>
                <w:noProof/>
                <w:webHidden/>
                <w:sz w:val="28"/>
                <w:szCs w:val="28"/>
              </w:rPr>
              <w:instrText xml:space="preserve"> PAGEREF _Toc531302318 \h </w:instrText>
            </w:r>
            <w:r w:rsidRPr="0018542C">
              <w:rPr>
                <w:noProof/>
                <w:webHidden/>
                <w:sz w:val="28"/>
                <w:szCs w:val="28"/>
              </w:rPr>
            </w:r>
            <w:r w:rsidRPr="0018542C">
              <w:rPr>
                <w:noProof/>
                <w:webHidden/>
                <w:sz w:val="28"/>
                <w:szCs w:val="28"/>
              </w:rPr>
              <w:fldChar w:fldCharType="separate"/>
            </w:r>
            <w:r w:rsidRPr="0018542C">
              <w:rPr>
                <w:noProof/>
                <w:webHidden/>
                <w:sz w:val="28"/>
                <w:szCs w:val="28"/>
              </w:rPr>
              <w:t>6</w:t>
            </w:r>
            <w:r w:rsidRPr="0018542C">
              <w:rPr>
                <w:noProof/>
                <w:webHidden/>
                <w:sz w:val="28"/>
                <w:szCs w:val="28"/>
              </w:rPr>
              <w:fldChar w:fldCharType="end"/>
            </w:r>
          </w:hyperlink>
        </w:p>
        <w:p w:rsidR="0018542C" w:rsidRPr="0018542C" w:rsidRDefault="0018542C">
          <w:pPr>
            <w:pStyle w:val="11"/>
            <w:tabs>
              <w:tab w:val="right" w:leader="dot" w:pos="8296"/>
            </w:tabs>
            <w:rPr>
              <w:rFonts w:eastAsiaTheme="minorEastAsia"/>
              <w:noProof/>
              <w:color w:val="auto"/>
              <w:sz w:val="28"/>
              <w:szCs w:val="28"/>
              <w:lang w:eastAsia="ru-RU"/>
            </w:rPr>
          </w:pPr>
          <w:hyperlink w:anchor="_Toc531302319" w:history="1">
            <w:r w:rsidRPr="0018542C">
              <w:rPr>
                <w:rStyle w:val="aff3"/>
                <w:noProof/>
                <w:sz w:val="28"/>
                <w:szCs w:val="28"/>
              </w:rPr>
              <w:t>Заключение</w:t>
            </w:r>
            <w:r w:rsidRPr="0018542C">
              <w:rPr>
                <w:noProof/>
                <w:webHidden/>
                <w:sz w:val="28"/>
                <w:szCs w:val="28"/>
              </w:rPr>
              <w:tab/>
            </w:r>
            <w:r w:rsidRPr="0018542C">
              <w:rPr>
                <w:noProof/>
                <w:webHidden/>
                <w:sz w:val="28"/>
                <w:szCs w:val="28"/>
              </w:rPr>
              <w:fldChar w:fldCharType="begin"/>
            </w:r>
            <w:r w:rsidRPr="0018542C">
              <w:rPr>
                <w:noProof/>
                <w:webHidden/>
                <w:sz w:val="28"/>
                <w:szCs w:val="28"/>
              </w:rPr>
              <w:instrText xml:space="preserve"> PAGEREF _Toc531302319 \h </w:instrText>
            </w:r>
            <w:r w:rsidRPr="0018542C">
              <w:rPr>
                <w:noProof/>
                <w:webHidden/>
                <w:sz w:val="28"/>
                <w:szCs w:val="28"/>
              </w:rPr>
            </w:r>
            <w:r w:rsidRPr="0018542C">
              <w:rPr>
                <w:noProof/>
                <w:webHidden/>
                <w:sz w:val="28"/>
                <w:szCs w:val="28"/>
              </w:rPr>
              <w:fldChar w:fldCharType="separate"/>
            </w:r>
            <w:r w:rsidRPr="0018542C">
              <w:rPr>
                <w:noProof/>
                <w:webHidden/>
                <w:sz w:val="28"/>
                <w:szCs w:val="28"/>
              </w:rPr>
              <w:t>6</w:t>
            </w:r>
            <w:r w:rsidRPr="0018542C">
              <w:rPr>
                <w:noProof/>
                <w:webHidden/>
                <w:sz w:val="28"/>
                <w:szCs w:val="28"/>
              </w:rPr>
              <w:fldChar w:fldCharType="end"/>
            </w:r>
          </w:hyperlink>
        </w:p>
        <w:p w:rsidR="00E46789" w:rsidRDefault="00E46789">
          <w:r w:rsidRPr="0018542C">
            <w:rPr>
              <w:b/>
              <w:bCs/>
              <w:sz w:val="28"/>
              <w:szCs w:val="28"/>
            </w:rPr>
            <w:fldChar w:fldCharType="end"/>
          </w:r>
        </w:p>
      </w:sdtContent>
    </w:sdt>
    <w:p w:rsidR="00C6554A" w:rsidRDefault="00C6554A" w:rsidP="00C6554A">
      <w:pPr>
        <w:pStyle w:val="a5"/>
      </w:pPr>
      <w:r>
        <w:rPr>
          <w:lang w:bidi="ru-RU"/>
        </w:rPr>
        <w:br w:type="page"/>
      </w:r>
    </w:p>
    <w:p w:rsidR="00C6554A" w:rsidRPr="0018542C" w:rsidRDefault="00E46789" w:rsidP="00C6554A">
      <w:pPr>
        <w:pStyle w:val="1"/>
        <w:rPr>
          <w:sz w:val="36"/>
          <w:szCs w:val="36"/>
        </w:rPr>
      </w:pPr>
      <w:bookmarkStart w:id="0" w:name="_Toc531302312"/>
      <w:r w:rsidRPr="0018542C">
        <w:rPr>
          <w:sz w:val="36"/>
          <w:szCs w:val="36"/>
        </w:rPr>
        <w:lastRenderedPageBreak/>
        <w:t>Определения и терминология</w:t>
      </w:r>
      <w:bookmarkEnd w:id="0"/>
    </w:p>
    <w:p w:rsidR="00C6554A" w:rsidRPr="0018542C" w:rsidRDefault="00A956E8" w:rsidP="00A956E8">
      <w:pPr>
        <w:rPr>
          <w:b/>
          <w:sz w:val="28"/>
          <w:szCs w:val="28"/>
        </w:rPr>
      </w:pPr>
      <w:r w:rsidRPr="0018542C">
        <w:rPr>
          <w:b/>
          <w:sz w:val="28"/>
          <w:szCs w:val="28"/>
        </w:rPr>
        <w:t>Подземное хранилище газа(ПХГ) –</w:t>
      </w:r>
      <w:r w:rsidRPr="0018542C">
        <w:rPr>
          <w:sz w:val="28"/>
          <w:szCs w:val="28"/>
        </w:rPr>
        <w:t>комплекс инженерно-технических сооружений, комбинированный с естественными или искусственными емкостями в пористых пластах или горных выработках для накопления и распределенного использования больших объемов газа.</w:t>
      </w:r>
      <w:r w:rsidRPr="0018542C">
        <w:rPr>
          <w:b/>
          <w:sz w:val="28"/>
          <w:szCs w:val="28"/>
        </w:rPr>
        <w:t xml:space="preserve">  </w:t>
      </w:r>
    </w:p>
    <w:p w:rsidR="00CD0C24" w:rsidRPr="0018542C" w:rsidRDefault="00CD0C24" w:rsidP="00A956E8">
      <w:pPr>
        <w:rPr>
          <w:sz w:val="28"/>
          <w:szCs w:val="28"/>
        </w:rPr>
      </w:pPr>
      <w:r w:rsidRPr="0018542C">
        <w:rPr>
          <w:b/>
          <w:sz w:val="28"/>
          <w:szCs w:val="28"/>
        </w:rPr>
        <w:t>Активный газ</w:t>
      </w:r>
      <w:r w:rsidR="008F2014" w:rsidRPr="0018542C">
        <w:rPr>
          <w:b/>
          <w:sz w:val="28"/>
          <w:szCs w:val="28"/>
        </w:rPr>
        <w:t xml:space="preserve"> –</w:t>
      </w:r>
      <w:r w:rsidR="008F2014" w:rsidRPr="0018542C">
        <w:rPr>
          <w:sz w:val="28"/>
          <w:szCs w:val="28"/>
        </w:rPr>
        <w:t>газ который будут извлекать из хранилища при его эксплуатации.</w:t>
      </w:r>
    </w:p>
    <w:p w:rsidR="00CD0C24" w:rsidRDefault="00CD0C24" w:rsidP="00A956E8">
      <w:pPr>
        <w:rPr>
          <w:rFonts w:ascii="Tahoma" w:hAnsi="Tahoma" w:cs="Tahoma"/>
          <w:color w:val="424242"/>
          <w:sz w:val="28"/>
          <w:szCs w:val="28"/>
          <w:shd w:val="clear" w:color="auto" w:fill="FFFFFF"/>
        </w:rPr>
      </w:pPr>
      <w:r w:rsidRPr="0018542C">
        <w:rPr>
          <w:b/>
          <w:sz w:val="28"/>
          <w:szCs w:val="28"/>
        </w:rPr>
        <w:t xml:space="preserve">Буферный газ </w:t>
      </w:r>
      <w:r w:rsidR="00CB61FF" w:rsidRPr="0018542C">
        <w:rPr>
          <w:b/>
          <w:sz w:val="28"/>
          <w:szCs w:val="28"/>
        </w:rPr>
        <w:t>–</w:t>
      </w:r>
      <w:r w:rsidR="00CB61FF" w:rsidRPr="0018542C">
        <w:rPr>
          <w:rFonts w:ascii="Tahoma" w:hAnsi="Tahoma" w:cs="Tahoma"/>
          <w:color w:val="424242"/>
          <w:sz w:val="28"/>
          <w:szCs w:val="28"/>
          <w:shd w:val="clear" w:color="auto" w:fill="FFFFFF"/>
        </w:rPr>
        <w:t>газ, постоянно находящийся в пласте ПХГ</w:t>
      </w:r>
      <w:r w:rsidR="00CB61FF" w:rsidRPr="0018542C">
        <w:rPr>
          <w:rFonts w:ascii="Tahoma" w:hAnsi="Tahoma" w:cs="Tahoma"/>
          <w:color w:val="424242"/>
          <w:sz w:val="28"/>
          <w:szCs w:val="28"/>
          <w:shd w:val="clear" w:color="auto" w:fill="FFFFFF"/>
        </w:rPr>
        <w:t>.</w:t>
      </w:r>
      <w:r w:rsidR="00CB61FF" w:rsidRPr="0018542C">
        <w:rPr>
          <w:rFonts w:ascii="Tahoma" w:hAnsi="Tahoma" w:cs="Tahoma"/>
          <w:color w:val="424242"/>
          <w:sz w:val="28"/>
          <w:szCs w:val="28"/>
          <w:shd w:val="clear" w:color="auto" w:fill="FFFFFF"/>
        </w:rPr>
        <w:t xml:space="preserve"> Количество буферного газа напрямую зависит от типа резервуара, который используется для создания ПХГ. Так, например, если используется истощенная скважина, можно использовать остатки газа, неизлеченного </w:t>
      </w:r>
      <w:r w:rsidR="008F2014" w:rsidRPr="0018542C">
        <w:rPr>
          <w:rFonts w:ascii="Tahoma" w:hAnsi="Tahoma" w:cs="Tahoma"/>
          <w:color w:val="424242"/>
          <w:sz w:val="28"/>
          <w:szCs w:val="28"/>
          <w:shd w:val="clear" w:color="auto" w:fill="FFFFFF"/>
        </w:rPr>
        <w:t>при ее эксплуатации (если его достаточно). Закачиваемый газ не обязательно должен состоять исключительно из углеводородных газов, допускается наличие в качестве примеси (до десятков процентов), например, азота.</w:t>
      </w:r>
    </w:p>
    <w:p w:rsidR="00E42E76" w:rsidRPr="00E42E76" w:rsidRDefault="00E42E76" w:rsidP="00A956E8">
      <w:pPr>
        <w:rPr>
          <w:b/>
          <w:sz w:val="28"/>
          <w:szCs w:val="28"/>
        </w:rPr>
      </w:pPr>
      <w:r>
        <w:rPr>
          <w:rFonts w:ascii="Tahoma" w:hAnsi="Tahoma" w:cs="Tahoma"/>
          <w:b/>
          <w:color w:val="424242"/>
          <w:sz w:val="28"/>
          <w:szCs w:val="28"/>
          <w:shd w:val="clear" w:color="auto" w:fill="FFFFFF"/>
        </w:rPr>
        <w:t>Забойное давление -</w:t>
      </w:r>
    </w:p>
    <w:p w:rsidR="00C6554A" w:rsidRPr="0018542C" w:rsidRDefault="00E46789" w:rsidP="00E46789">
      <w:pPr>
        <w:pStyle w:val="1"/>
        <w:rPr>
          <w:sz w:val="36"/>
          <w:szCs w:val="36"/>
        </w:rPr>
      </w:pPr>
      <w:bookmarkStart w:id="1" w:name="_Toc531302313"/>
      <w:r w:rsidRPr="0018542C">
        <w:rPr>
          <w:sz w:val="36"/>
          <w:szCs w:val="36"/>
        </w:rPr>
        <w:t>Предпосылки появления ПХГ</w:t>
      </w:r>
      <w:bookmarkEnd w:id="1"/>
    </w:p>
    <w:p w:rsidR="00376D2D" w:rsidRPr="0018542C" w:rsidRDefault="001B68F4" w:rsidP="00A956E8">
      <w:pPr>
        <w:rPr>
          <w:sz w:val="28"/>
          <w:szCs w:val="28"/>
        </w:rPr>
      </w:pPr>
      <w:r w:rsidRPr="0018542C">
        <w:rPr>
          <w:sz w:val="28"/>
          <w:szCs w:val="28"/>
        </w:rPr>
        <w:t xml:space="preserve">С самого начала использования природного газа в жизни человека, стало ясно, что его потребление в разные периоды времени неравномерно. Так, например, в течение года наблюдается явное различие между объемами потребляемого газа в зимнее и летнее время года. Это связано с тем, что </w:t>
      </w:r>
      <w:r w:rsidR="00376D2D" w:rsidRPr="0018542C">
        <w:rPr>
          <w:sz w:val="28"/>
          <w:szCs w:val="28"/>
        </w:rPr>
        <w:t>в холодный период</w:t>
      </w:r>
      <w:r w:rsidRPr="0018542C">
        <w:rPr>
          <w:sz w:val="28"/>
          <w:szCs w:val="28"/>
        </w:rPr>
        <w:t xml:space="preserve"> </w:t>
      </w:r>
      <w:r w:rsidR="00376D2D" w:rsidRPr="0018542C">
        <w:rPr>
          <w:sz w:val="28"/>
          <w:szCs w:val="28"/>
        </w:rPr>
        <w:t>нужно намного больше жидкого топлива, для отопления жилых помещений, чем летом.</w:t>
      </w:r>
      <w:r w:rsidRPr="0018542C">
        <w:rPr>
          <w:sz w:val="28"/>
          <w:szCs w:val="28"/>
        </w:rPr>
        <w:t xml:space="preserve"> </w:t>
      </w:r>
    </w:p>
    <w:p w:rsidR="00244054" w:rsidRPr="0018542C" w:rsidRDefault="00244054" w:rsidP="00A956E8">
      <w:pPr>
        <w:rPr>
          <w:sz w:val="28"/>
          <w:szCs w:val="28"/>
        </w:rPr>
      </w:pPr>
    </w:p>
    <w:p w:rsidR="002C74C0" w:rsidRPr="0018542C" w:rsidRDefault="001B68F4" w:rsidP="00A956E8">
      <w:pPr>
        <w:rPr>
          <w:sz w:val="28"/>
          <w:szCs w:val="28"/>
        </w:rPr>
      </w:pPr>
      <w:r w:rsidRPr="0018542C">
        <w:rPr>
          <w:sz w:val="28"/>
          <w:szCs w:val="28"/>
        </w:rPr>
        <w:t xml:space="preserve">Можно рассмотреть этот вопрос в еще более мелком масштабе, </w:t>
      </w:r>
      <w:r w:rsidR="00376D2D" w:rsidRPr="0018542C">
        <w:rPr>
          <w:sz w:val="28"/>
          <w:szCs w:val="28"/>
        </w:rPr>
        <w:t xml:space="preserve">например, </w:t>
      </w:r>
      <w:r w:rsidRPr="0018542C">
        <w:rPr>
          <w:sz w:val="28"/>
          <w:szCs w:val="28"/>
        </w:rPr>
        <w:t xml:space="preserve">в пределах суток. Проанализировав свой график, Вы можете заметить, что основное потребление </w:t>
      </w:r>
      <w:r w:rsidR="00376D2D" w:rsidRPr="0018542C">
        <w:rPr>
          <w:sz w:val="28"/>
          <w:szCs w:val="28"/>
        </w:rPr>
        <w:t xml:space="preserve">энергетических ресурсов приходится на утреннее и вечернее время, когда Вам </w:t>
      </w:r>
      <w:r w:rsidR="00376D2D" w:rsidRPr="0018542C">
        <w:rPr>
          <w:sz w:val="28"/>
          <w:szCs w:val="28"/>
        </w:rPr>
        <w:lastRenderedPageBreak/>
        <w:t xml:space="preserve">нужно приготовить ужин или приять горячую ванну, что в свою очередь требует, хоть и незначительных, но всё же топливных затрат. Умножьте теплый ужин и горячий душ на количество людей в вашем городе, и Вы сможете примерно оценить насколько велика разница потребления газа в разное время суток. </w:t>
      </w:r>
      <w:r w:rsidRPr="0018542C">
        <w:rPr>
          <w:sz w:val="28"/>
          <w:szCs w:val="28"/>
        </w:rPr>
        <w:t xml:space="preserve"> </w:t>
      </w:r>
      <w:r w:rsidR="0018542C" w:rsidRPr="0018542C">
        <w:rPr>
          <w:noProof/>
          <w:sz w:val="28"/>
          <w:szCs w:val="28"/>
          <w:lang w:eastAsia="ru-RU"/>
        </w:rPr>
        <w:drawing>
          <wp:inline distT="0" distB="0" distL="0" distR="0" wp14:anchorId="03AC37B2" wp14:editId="00E14F61">
            <wp:extent cx="5068570" cy="2799715"/>
            <wp:effectExtent l="152400" t="152400" r="360680" b="362585"/>
            <wp:docPr id="3" name="Рисунок 3" descr="https://studwood.ru/imag_/8/272010/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wood.ru/imag_/8/272010/image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8570" cy="2799715"/>
                    </a:xfrm>
                    <a:prstGeom prst="rect">
                      <a:avLst/>
                    </a:prstGeom>
                    <a:ln>
                      <a:noFill/>
                    </a:ln>
                    <a:effectLst>
                      <a:outerShdw blurRad="292100" dist="139700" dir="2700000" algn="tl" rotWithShape="0">
                        <a:srgbClr val="333333">
                          <a:alpha val="65000"/>
                        </a:srgbClr>
                      </a:outerShdw>
                    </a:effectLst>
                  </pic:spPr>
                </pic:pic>
              </a:graphicData>
            </a:graphic>
          </wp:inline>
        </w:drawing>
      </w:r>
    </w:p>
    <w:p w:rsidR="007F3F64" w:rsidRPr="0018542C" w:rsidRDefault="00244054">
      <w:pPr>
        <w:rPr>
          <w:sz w:val="28"/>
          <w:szCs w:val="28"/>
        </w:rPr>
      </w:pPr>
      <w:r w:rsidRPr="0018542C">
        <w:rPr>
          <w:sz w:val="28"/>
          <w:szCs w:val="28"/>
        </w:rPr>
        <w:t xml:space="preserve">Проблема неравномерности потребления газа поставила перед человечеством задачу создания системы, которая позволила бы хранить добытый газ недалеко от мест его непосредственного использования. Так начался цикл научно-исследовательских работ, направленный на изучение методов </w:t>
      </w:r>
      <w:r w:rsidR="007F3F64" w:rsidRPr="0018542C">
        <w:rPr>
          <w:sz w:val="28"/>
          <w:szCs w:val="28"/>
        </w:rPr>
        <w:t>резервации</w:t>
      </w:r>
      <w:r w:rsidRPr="0018542C">
        <w:rPr>
          <w:sz w:val="28"/>
          <w:szCs w:val="28"/>
        </w:rPr>
        <w:t xml:space="preserve"> газа в природно-созданных резервуарах. </w:t>
      </w:r>
    </w:p>
    <w:p w:rsidR="007F3F64" w:rsidRPr="0018542C" w:rsidRDefault="007F3F64">
      <w:pPr>
        <w:rPr>
          <w:sz w:val="28"/>
          <w:szCs w:val="28"/>
        </w:rPr>
      </w:pPr>
      <w:r w:rsidRPr="0018542C">
        <w:rPr>
          <w:sz w:val="28"/>
          <w:szCs w:val="28"/>
        </w:rPr>
        <w:t xml:space="preserve">Так в 1915 году Уильям </w:t>
      </w:r>
      <w:proofErr w:type="spellStart"/>
      <w:r w:rsidRPr="0018542C">
        <w:rPr>
          <w:sz w:val="28"/>
          <w:szCs w:val="28"/>
        </w:rPr>
        <w:t>Дадж</w:t>
      </w:r>
      <w:proofErr w:type="spellEnd"/>
      <w:r w:rsidRPr="0018542C">
        <w:rPr>
          <w:sz w:val="28"/>
          <w:szCs w:val="28"/>
        </w:rPr>
        <w:t xml:space="preserve"> применил на практике метод подземного хранения газа с помощью истощенной скважины </w:t>
      </w:r>
      <w:proofErr w:type="spellStart"/>
      <w:r w:rsidRPr="0018542C">
        <w:rPr>
          <w:sz w:val="28"/>
          <w:szCs w:val="28"/>
        </w:rPr>
        <w:t>Велланд</w:t>
      </w:r>
      <w:proofErr w:type="spellEnd"/>
      <w:r w:rsidRPr="0018542C">
        <w:rPr>
          <w:sz w:val="28"/>
          <w:szCs w:val="28"/>
        </w:rPr>
        <w:t xml:space="preserve"> в провинции Онтарио. Опыт показал, что газ, закаченный в мелкозернистый песок можно извлечь обратно, без существенных потерь. Успех </w:t>
      </w:r>
      <w:proofErr w:type="spellStart"/>
      <w:r w:rsidRPr="0018542C">
        <w:rPr>
          <w:sz w:val="28"/>
          <w:szCs w:val="28"/>
        </w:rPr>
        <w:t>Даджа</w:t>
      </w:r>
      <w:proofErr w:type="spellEnd"/>
      <w:r w:rsidRPr="0018542C">
        <w:rPr>
          <w:sz w:val="28"/>
          <w:szCs w:val="28"/>
        </w:rPr>
        <w:t xml:space="preserve"> побудил</w:t>
      </w:r>
      <w:r w:rsidR="00C44757" w:rsidRPr="0018542C">
        <w:rPr>
          <w:sz w:val="28"/>
          <w:szCs w:val="28"/>
        </w:rPr>
        <w:t xml:space="preserve"> компанию</w:t>
      </w:r>
      <w:r w:rsidRPr="0018542C">
        <w:rPr>
          <w:sz w:val="28"/>
          <w:szCs w:val="28"/>
        </w:rPr>
        <w:t xml:space="preserve"> </w:t>
      </w:r>
      <w:proofErr w:type="spellStart"/>
      <w:r w:rsidR="00C44757" w:rsidRPr="0018542C">
        <w:rPr>
          <w:sz w:val="28"/>
          <w:szCs w:val="28"/>
        </w:rPr>
        <w:t>Iroquois</w:t>
      </w:r>
      <w:proofErr w:type="spellEnd"/>
      <w:r w:rsidR="00C44757" w:rsidRPr="0018542C">
        <w:rPr>
          <w:sz w:val="28"/>
          <w:szCs w:val="28"/>
        </w:rPr>
        <w:t xml:space="preserve"> </w:t>
      </w:r>
      <w:proofErr w:type="spellStart"/>
      <w:r w:rsidR="00C44757" w:rsidRPr="0018542C">
        <w:rPr>
          <w:sz w:val="28"/>
          <w:szCs w:val="28"/>
        </w:rPr>
        <w:t>Gas</w:t>
      </w:r>
      <w:proofErr w:type="spellEnd"/>
      <w:r w:rsidR="00C44757" w:rsidRPr="0018542C">
        <w:rPr>
          <w:sz w:val="28"/>
          <w:szCs w:val="28"/>
        </w:rPr>
        <w:t xml:space="preserve"> </w:t>
      </w:r>
      <w:proofErr w:type="spellStart"/>
      <w:r w:rsidR="00C44757" w:rsidRPr="0018542C">
        <w:rPr>
          <w:sz w:val="28"/>
          <w:szCs w:val="28"/>
        </w:rPr>
        <w:t>Company</w:t>
      </w:r>
      <w:proofErr w:type="spellEnd"/>
      <w:r w:rsidR="00C44757" w:rsidRPr="0018542C">
        <w:rPr>
          <w:sz w:val="28"/>
          <w:szCs w:val="28"/>
        </w:rPr>
        <w:t xml:space="preserve"> к созданию в 1916 году первого промышленного ПХГ, используя в качестве резервуара истощенное газовое месторождение </w:t>
      </w:r>
      <w:proofErr w:type="spellStart"/>
      <w:r w:rsidR="00C44757" w:rsidRPr="0018542C">
        <w:rPr>
          <w:sz w:val="28"/>
          <w:szCs w:val="28"/>
        </w:rPr>
        <w:t>Зоар</w:t>
      </w:r>
      <w:proofErr w:type="spellEnd"/>
      <w:r w:rsidR="00C44757" w:rsidRPr="0018542C">
        <w:rPr>
          <w:sz w:val="28"/>
          <w:szCs w:val="28"/>
        </w:rPr>
        <w:t xml:space="preserve"> в штате Нью-Йорк.</w:t>
      </w:r>
    </w:p>
    <w:p w:rsidR="00F01388" w:rsidRPr="0018542C" w:rsidRDefault="00F01388" w:rsidP="00A851D6">
      <w:pPr>
        <w:pStyle w:val="1"/>
        <w:rPr>
          <w:sz w:val="36"/>
          <w:szCs w:val="36"/>
        </w:rPr>
      </w:pPr>
      <w:bookmarkStart w:id="2" w:name="_Toc531302314"/>
      <w:r w:rsidRPr="0018542C">
        <w:rPr>
          <w:sz w:val="36"/>
          <w:szCs w:val="36"/>
        </w:rPr>
        <w:lastRenderedPageBreak/>
        <w:t>Устройство ПХГ</w:t>
      </w:r>
      <w:bookmarkEnd w:id="2"/>
    </w:p>
    <w:p w:rsidR="00A851D6" w:rsidRPr="0018542C" w:rsidRDefault="00CB61FF" w:rsidP="00A851D6">
      <w:pPr>
        <w:rPr>
          <w:sz w:val="28"/>
          <w:szCs w:val="28"/>
        </w:rPr>
      </w:pPr>
      <w:r w:rsidRPr="0018542C">
        <w:rPr>
          <w:noProof/>
          <w:sz w:val="28"/>
          <w:szCs w:val="28"/>
          <w:lang w:eastAsia="ru-RU"/>
        </w:rPr>
        <w:drawing>
          <wp:anchor distT="0" distB="0" distL="114300" distR="114300" simplePos="0" relativeHeight="251658240" behindDoc="1" locked="0" layoutInCell="1" allowOverlap="1" wp14:anchorId="5EAEFA0D" wp14:editId="79BBBF4E">
            <wp:simplePos x="0" y="0"/>
            <wp:positionH relativeFrom="margin">
              <wp:align>center</wp:align>
            </wp:positionH>
            <wp:positionV relativeFrom="paragraph">
              <wp:posOffset>1689100</wp:posOffset>
            </wp:positionV>
            <wp:extent cx="3524250" cy="3740150"/>
            <wp:effectExtent l="171450" t="152400" r="361950" b="355600"/>
            <wp:wrapTopAndBottom/>
            <wp:docPr id="1" name="Рисунок 1" descr="http://www.gazprominfo.ru/f/story/89/864074/12-sche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azprominfo.ru/f/story/89/864074/12-scheme-3.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0287" b="11072"/>
                    <a:stretch/>
                  </pic:blipFill>
                  <pic:spPr bwMode="auto">
                    <a:xfrm>
                      <a:off x="0" y="0"/>
                      <a:ext cx="3524250" cy="3740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51D6" w:rsidRPr="0018542C">
        <w:rPr>
          <w:sz w:val="28"/>
          <w:szCs w:val="28"/>
        </w:rPr>
        <w:t>В качестве фундамента для будущего ПХГ используются полости в земле, созданные человеком или же предусмотренные самой природой. Так, например, подземное хранилище можно соорудить на базе истощенной угольной шахты или нефтяной скважины. Так же очень удобно для этой цели использовать соляные пещеры. Такой подход очень удобен, соль имеет свойство «затягивать» трещины в своей структуре, а также легко вымывается водой, что позволяет адаптировать ПХГ под необходимые физические параметры, о которых мы поговорим дальше.</w:t>
      </w:r>
    </w:p>
    <w:p w:rsidR="00CD0C24" w:rsidRPr="0018542C" w:rsidRDefault="00CD0C24" w:rsidP="00A851D6">
      <w:pPr>
        <w:rPr>
          <w:sz w:val="28"/>
          <w:szCs w:val="28"/>
        </w:rPr>
      </w:pPr>
      <w:r w:rsidRPr="0018542C">
        <w:rPr>
          <w:sz w:val="28"/>
          <w:szCs w:val="28"/>
        </w:rPr>
        <w:t xml:space="preserve">Для создания, нормально функционирующего ПХГ, нужно учитывать некоторый объем газа, который останется в коллекторе, после забора всего активного газа из пласта. Так называемый буферный газ, позволяет на протяжении всего эксплуатационного цикла использования ПХГ, обеспечить подходящие условия для закачки и извлечения газа из </w:t>
      </w:r>
      <w:r w:rsidRPr="0018542C">
        <w:rPr>
          <w:sz w:val="28"/>
          <w:szCs w:val="28"/>
        </w:rPr>
        <w:lastRenderedPageBreak/>
        <w:t>коллектора. Буферный объем газа рассчитывается исходя из геолого-гидродинамических условий и технологических особенностей создания ПХГ. (Подробнее о буферном газе можно прочесть в главе «Определения и терминология»)</w:t>
      </w:r>
    </w:p>
    <w:p w:rsidR="00E14691" w:rsidRPr="0018542C" w:rsidRDefault="008F2014" w:rsidP="00E14691">
      <w:pPr>
        <w:pStyle w:val="1"/>
        <w:rPr>
          <w:sz w:val="36"/>
          <w:szCs w:val="36"/>
        </w:rPr>
      </w:pPr>
      <w:bookmarkStart w:id="3" w:name="_Toc531302315"/>
      <w:r w:rsidRPr="0018542C">
        <w:rPr>
          <w:sz w:val="36"/>
          <w:szCs w:val="36"/>
        </w:rPr>
        <w:t>Этапы функционирования ПХГ</w:t>
      </w:r>
      <w:bookmarkEnd w:id="3"/>
    </w:p>
    <w:p w:rsidR="008F2014" w:rsidRPr="0018542C" w:rsidRDefault="008F2014" w:rsidP="008F2014">
      <w:pPr>
        <w:rPr>
          <w:sz w:val="28"/>
          <w:szCs w:val="28"/>
        </w:rPr>
      </w:pPr>
      <w:r w:rsidRPr="0018542C">
        <w:rPr>
          <w:sz w:val="28"/>
          <w:szCs w:val="28"/>
        </w:rPr>
        <w:t>Этапы «жизни» подземного хранилища газа можно рассмотреть в различном приближении. С технологической точки зрения можно выделить три основных этапа эксплуатации:</w:t>
      </w:r>
    </w:p>
    <w:p w:rsidR="008F2014" w:rsidRPr="0018542C" w:rsidRDefault="008F2014" w:rsidP="008F2014">
      <w:pPr>
        <w:pStyle w:val="affa"/>
        <w:numPr>
          <w:ilvl w:val="0"/>
          <w:numId w:val="16"/>
        </w:numPr>
        <w:rPr>
          <w:sz w:val="28"/>
          <w:szCs w:val="28"/>
        </w:rPr>
      </w:pPr>
      <w:r w:rsidRPr="0018542C">
        <w:rPr>
          <w:sz w:val="28"/>
          <w:szCs w:val="28"/>
        </w:rPr>
        <w:t>Закачка газа</w:t>
      </w:r>
    </w:p>
    <w:p w:rsidR="008F2014" w:rsidRPr="0018542C" w:rsidRDefault="008F2014" w:rsidP="008F2014">
      <w:pPr>
        <w:pStyle w:val="affa"/>
        <w:numPr>
          <w:ilvl w:val="0"/>
          <w:numId w:val="16"/>
        </w:numPr>
        <w:rPr>
          <w:sz w:val="28"/>
          <w:szCs w:val="28"/>
        </w:rPr>
      </w:pPr>
      <w:r w:rsidRPr="0018542C">
        <w:rPr>
          <w:sz w:val="28"/>
          <w:szCs w:val="28"/>
        </w:rPr>
        <w:t>Циклическая эксплуатация</w:t>
      </w:r>
    </w:p>
    <w:p w:rsidR="008F2014" w:rsidRPr="0018542C" w:rsidRDefault="008F2014" w:rsidP="008F2014">
      <w:pPr>
        <w:pStyle w:val="affa"/>
        <w:numPr>
          <w:ilvl w:val="0"/>
          <w:numId w:val="16"/>
        </w:numPr>
        <w:rPr>
          <w:sz w:val="28"/>
          <w:szCs w:val="28"/>
        </w:rPr>
      </w:pPr>
      <w:r w:rsidRPr="0018542C">
        <w:rPr>
          <w:sz w:val="28"/>
          <w:szCs w:val="28"/>
        </w:rPr>
        <w:t>Ликвидация</w:t>
      </w:r>
    </w:p>
    <w:p w:rsidR="008F2014" w:rsidRDefault="008F2014" w:rsidP="008F2014">
      <w:pPr>
        <w:rPr>
          <w:sz w:val="28"/>
          <w:szCs w:val="28"/>
        </w:rPr>
      </w:pPr>
      <w:r w:rsidRPr="0018542C">
        <w:rPr>
          <w:sz w:val="28"/>
          <w:szCs w:val="28"/>
        </w:rPr>
        <w:t xml:space="preserve">Каждый этап разбивается на множество подпунктов, </w:t>
      </w:r>
      <w:r w:rsidR="00D630E0" w:rsidRPr="0018542C">
        <w:rPr>
          <w:sz w:val="28"/>
          <w:szCs w:val="28"/>
        </w:rPr>
        <w:t>которые</w:t>
      </w:r>
      <w:r w:rsidRPr="0018542C">
        <w:rPr>
          <w:sz w:val="28"/>
          <w:szCs w:val="28"/>
        </w:rPr>
        <w:t xml:space="preserve"> </w:t>
      </w:r>
      <w:r w:rsidR="00D630E0" w:rsidRPr="0018542C">
        <w:rPr>
          <w:sz w:val="28"/>
          <w:szCs w:val="28"/>
        </w:rPr>
        <w:t xml:space="preserve">напрямую влияют на эффективность использования ПХГ. </w:t>
      </w:r>
    </w:p>
    <w:p w:rsidR="00637ACC" w:rsidRDefault="00637ACC" w:rsidP="008F2014">
      <w:pPr>
        <w:rPr>
          <w:sz w:val="28"/>
          <w:szCs w:val="28"/>
        </w:rPr>
      </w:pPr>
      <w:r>
        <w:rPr>
          <w:noProof/>
          <w:lang w:eastAsia="ru-RU"/>
        </w:rPr>
        <w:drawing>
          <wp:inline distT="0" distB="0" distL="0" distR="0" wp14:anchorId="3AD55712" wp14:editId="0B466BF0">
            <wp:extent cx="5838825" cy="2142054"/>
            <wp:effectExtent l="0" t="0" r="0" b="0"/>
            <wp:docPr id="4" name="Рисунок 4" descr="http://www.gazprominfo.ru/f/story/89/864074/12-sch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azprominfo.ru/f/story/89/864074/12-sche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284" cy="2145157"/>
                    </a:xfrm>
                    <a:prstGeom prst="rect">
                      <a:avLst/>
                    </a:prstGeom>
                    <a:noFill/>
                    <a:ln>
                      <a:noFill/>
                    </a:ln>
                  </pic:spPr>
                </pic:pic>
              </a:graphicData>
            </a:graphic>
          </wp:inline>
        </w:drawing>
      </w:r>
    </w:p>
    <w:p w:rsidR="00637ACC" w:rsidRPr="0018542C" w:rsidRDefault="00637ACC" w:rsidP="008F2014">
      <w:pPr>
        <w:rPr>
          <w:sz w:val="28"/>
          <w:szCs w:val="28"/>
        </w:rPr>
      </w:pPr>
    </w:p>
    <w:p w:rsidR="00D630E0" w:rsidRPr="0018542C" w:rsidRDefault="00D630E0" w:rsidP="00D630E0">
      <w:pPr>
        <w:pStyle w:val="4"/>
        <w:rPr>
          <w:sz w:val="32"/>
          <w:szCs w:val="32"/>
        </w:rPr>
      </w:pPr>
      <w:r w:rsidRPr="0018542C">
        <w:rPr>
          <w:sz w:val="32"/>
          <w:szCs w:val="32"/>
        </w:rPr>
        <w:t>Закачка газа.</w:t>
      </w:r>
    </w:p>
    <w:p w:rsidR="00D630E0" w:rsidRPr="0018542C" w:rsidRDefault="00D630E0" w:rsidP="00D630E0">
      <w:pPr>
        <w:rPr>
          <w:sz w:val="28"/>
          <w:szCs w:val="28"/>
        </w:rPr>
      </w:pPr>
      <w:r w:rsidRPr="0018542C">
        <w:rPr>
          <w:sz w:val="28"/>
          <w:szCs w:val="28"/>
        </w:rPr>
        <w:t xml:space="preserve">На первом этапе создания ПХГ, инженеры закачивают в пласт буферный и активный газ. Если ПХГ имеет сложную структуру, необходимо произвести разведывательные закачки газа в непромышленных объемах, чтобы удостовериться в соответствии коллектора необходимым характеристикам для создания ПХГ. Задача инженеров в кратчайшие сроки вывести </w:t>
      </w:r>
      <w:r w:rsidRPr="0018542C">
        <w:rPr>
          <w:sz w:val="28"/>
          <w:szCs w:val="28"/>
        </w:rPr>
        <w:lastRenderedPageBreak/>
        <w:t xml:space="preserve">ПХГ на циклическую эксплуатацию, тем самым перейдя ко второму этапу жизни хранилища. </w:t>
      </w:r>
    </w:p>
    <w:p w:rsidR="00D630E0" w:rsidRPr="0018542C" w:rsidRDefault="00D630E0" w:rsidP="00D630E0">
      <w:pPr>
        <w:pStyle w:val="4"/>
        <w:rPr>
          <w:sz w:val="32"/>
          <w:szCs w:val="32"/>
        </w:rPr>
      </w:pPr>
      <w:r w:rsidRPr="0018542C">
        <w:rPr>
          <w:sz w:val="32"/>
          <w:szCs w:val="32"/>
        </w:rPr>
        <w:t>Циклическая эксплуатация</w:t>
      </w:r>
    </w:p>
    <w:p w:rsidR="00D71A03" w:rsidRPr="0018542C" w:rsidRDefault="00D630E0" w:rsidP="00D630E0">
      <w:pPr>
        <w:rPr>
          <w:sz w:val="28"/>
          <w:szCs w:val="28"/>
        </w:rPr>
      </w:pPr>
      <w:r w:rsidRPr="0018542C">
        <w:rPr>
          <w:sz w:val="28"/>
          <w:szCs w:val="28"/>
        </w:rPr>
        <w:t xml:space="preserve">Под термином «циклическая эксплуатация» подразумевается закачка и вывод активного газа из пласта </w:t>
      </w:r>
      <w:r w:rsidR="00D71A03" w:rsidRPr="0018542C">
        <w:rPr>
          <w:sz w:val="28"/>
          <w:szCs w:val="28"/>
        </w:rPr>
        <w:t xml:space="preserve">в зависимости от потребностей пользователей ПХГ. Зачастую вводится такое понятие, как год функционирования ПХГ, который включает в себя сезон закачки, сезон отбора и два нейтральных сезона (которые напрямую связаны с временами года и температурными режимами области, в которой используется ПХГ). Такой год обычно начинается в середине весны, когда спадает нагрузка на ПХГ. Современные подходы позволяют инженерам «играть» с длиной года функционирования, тем самым </w:t>
      </w:r>
      <w:proofErr w:type="spellStart"/>
      <w:r w:rsidR="00D71A03" w:rsidRPr="0018542C">
        <w:rPr>
          <w:sz w:val="28"/>
          <w:szCs w:val="28"/>
        </w:rPr>
        <w:t>максимизируя</w:t>
      </w:r>
      <w:proofErr w:type="spellEnd"/>
      <w:r w:rsidR="00D71A03" w:rsidRPr="0018542C">
        <w:rPr>
          <w:sz w:val="28"/>
          <w:szCs w:val="28"/>
        </w:rPr>
        <w:t xml:space="preserve"> выгоду для компании-эксплуататора ПХГ. Циклический этап обычно рассматривается на неограниченно долгий период.</w:t>
      </w:r>
    </w:p>
    <w:p w:rsidR="0018542C" w:rsidRPr="0018542C" w:rsidRDefault="0018542C" w:rsidP="0018542C">
      <w:pPr>
        <w:pStyle w:val="4"/>
        <w:rPr>
          <w:sz w:val="32"/>
          <w:szCs w:val="32"/>
        </w:rPr>
      </w:pPr>
      <w:r w:rsidRPr="0018542C">
        <w:rPr>
          <w:sz w:val="32"/>
          <w:szCs w:val="32"/>
        </w:rPr>
        <w:t>Ликвидация</w:t>
      </w:r>
    </w:p>
    <w:p w:rsidR="00E14691" w:rsidRPr="0018542C" w:rsidRDefault="0018542C" w:rsidP="00E14691">
      <w:pPr>
        <w:rPr>
          <w:sz w:val="28"/>
          <w:szCs w:val="28"/>
        </w:rPr>
      </w:pPr>
      <w:r w:rsidRPr="0018542C">
        <w:rPr>
          <w:sz w:val="28"/>
          <w:szCs w:val="28"/>
        </w:rPr>
        <w:t>Процесс ликвидации заключается в извлечении всего активного и рентабельной части буферного газа. Так же ликвидируются или используются для других целей оставшиеся скважины и элементы инфраструктуры. Этап ликвидации ПХГ может длиться годами и по алгоритму исполнения напоминает ликвидацию истощенной скважины.</w:t>
      </w:r>
      <w:r w:rsidR="00D71A03" w:rsidRPr="0018542C">
        <w:rPr>
          <w:sz w:val="28"/>
          <w:szCs w:val="28"/>
        </w:rPr>
        <w:t xml:space="preserve"> </w:t>
      </w:r>
    </w:p>
    <w:p w:rsidR="00E14691" w:rsidRPr="00804DC6" w:rsidRDefault="00E14691" w:rsidP="00E14691">
      <w:pPr>
        <w:pStyle w:val="1"/>
        <w:rPr>
          <w:sz w:val="36"/>
          <w:szCs w:val="36"/>
        </w:rPr>
      </w:pPr>
      <w:bookmarkStart w:id="4" w:name="_Toc531302316"/>
      <w:r w:rsidRPr="00804DC6">
        <w:rPr>
          <w:sz w:val="36"/>
          <w:szCs w:val="36"/>
        </w:rPr>
        <w:t>Физика ПХГ</w:t>
      </w:r>
      <w:bookmarkEnd w:id="4"/>
    </w:p>
    <w:p w:rsidR="00E14691" w:rsidRDefault="00804DC6" w:rsidP="00E14691">
      <w:pPr>
        <w:rPr>
          <w:sz w:val="28"/>
          <w:szCs w:val="28"/>
        </w:rPr>
      </w:pPr>
      <w:r>
        <w:rPr>
          <w:sz w:val="28"/>
          <w:szCs w:val="28"/>
        </w:rPr>
        <w:t xml:space="preserve">При создании подземных хранилищ газа перед инженерами встает ряд технологических требований к будущему коллектору. </w:t>
      </w:r>
    </w:p>
    <w:p w:rsidR="00804DC6" w:rsidRDefault="00804DC6" w:rsidP="00804DC6">
      <w:pPr>
        <w:pStyle w:val="affa"/>
        <w:numPr>
          <w:ilvl w:val="0"/>
          <w:numId w:val="17"/>
        </w:numPr>
        <w:rPr>
          <w:sz w:val="28"/>
          <w:szCs w:val="28"/>
        </w:rPr>
      </w:pPr>
      <w:r>
        <w:rPr>
          <w:sz w:val="28"/>
          <w:szCs w:val="28"/>
        </w:rPr>
        <w:t>Ограничить область распространения закаченного газа, чтобы избежать нежелательных потерь</w:t>
      </w:r>
    </w:p>
    <w:p w:rsidR="00804DC6" w:rsidRDefault="00804DC6" w:rsidP="00804DC6">
      <w:pPr>
        <w:pStyle w:val="affa"/>
        <w:numPr>
          <w:ilvl w:val="0"/>
          <w:numId w:val="17"/>
        </w:numPr>
        <w:rPr>
          <w:sz w:val="28"/>
          <w:szCs w:val="28"/>
        </w:rPr>
      </w:pPr>
      <w:r>
        <w:rPr>
          <w:sz w:val="28"/>
          <w:szCs w:val="28"/>
        </w:rPr>
        <w:lastRenderedPageBreak/>
        <w:t>Обеспечить максимальное пластовое давление, не превышая при этом максимально допустимое давление пласта</w:t>
      </w:r>
    </w:p>
    <w:p w:rsidR="00804DC6" w:rsidRDefault="00804DC6" w:rsidP="00804DC6">
      <w:pPr>
        <w:pStyle w:val="affa"/>
        <w:numPr>
          <w:ilvl w:val="0"/>
          <w:numId w:val="17"/>
        </w:numPr>
        <w:rPr>
          <w:sz w:val="28"/>
          <w:szCs w:val="28"/>
        </w:rPr>
      </w:pPr>
      <w:r>
        <w:rPr>
          <w:sz w:val="28"/>
          <w:szCs w:val="28"/>
        </w:rPr>
        <w:t xml:space="preserve"> Обеспечить стабильное циклическое использование ПХГ в течении продолжительного периода времени</w:t>
      </w:r>
    </w:p>
    <w:p w:rsidR="00804DC6" w:rsidRDefault="009C7258" w:rsidP="00804DC6">
      <w:pPr>
        <w:pStyle w:val="affa"/>
        <w:numPr>
          <w:ilvl w:val="0"/>
          <w:numId w:val="17"/>
        </w:numPr>
        <w:rPr>
          <w:sz w:val="28"/>
          <w:szCs w:val="28"/>
        </w:rPr>
      </w:pPr>
      <w:r>
        <w:rPr>
          <w:sz w:val="28"/>
          <w:szCs w:val="28"/>
        </w:rPr>
        <w:t>Обеспечить стабилизацию коллектора при появлении водонапорного режима</w:t>
      </w:r>
    </w:p>
    <w:p w:rsidR="009C7258" w:rsidRDefault="009C7258" w:rsidP="009C7258">
      <w:pPr>
        <w:pStyle w:val="affa"/>
        <w:numPr>
          <w:ilvl w:val="0"/>
          <w:numId w:val="17"/>
        </w:numPr>
        <w:rPr>
          <w:sz w:val="28"/>
          <w:szCs w:val="28"/>
        </w:rPr>
      </w:pPr>
      <w:r>
        <w:rPr>
          <w:sz w:val="28"/>
          <w:szCs w:val="28"/>
        </w:rPr>
        <w:t>Препятствовать обводнению залежей газа</w:t>
      </w:r>
    </w:p>
    <w:p w:rsidR="009C7258" w:rsidRDefault="009C7258" w:rsidP="009C7258">
      <w:pPr>
        <w:rPr>
          <w:sz w:val="28"/>
          <w:szCs w:val="28"/>
        </w:rPr>
      </w:pPr>
      <w:r>
        <w:rPr>
          <w:sz w:val="28"/>
          <w:szCs w:val="28"/>
        </w:rPr>
        <w:t xml:space="preserve">При несоблюдении технологических требований ухудшается эффективность работы ПХГ, в некоторых случаях приводя к необходимости ликвидировать хранилище. </w:t>
      </w:r>
    </w:p>
    <w:p w:rsidR="009C7258" w:rsidRDefault="009C7258" w:rsidP="009C7258">
      <w:pPr>
        <w:rPr>
          <w:sz w:val="28"/>
          <w:szCs w:val="28"/>
        </w:rPr>
      </w:pPr>
      <w:r>
        <w:rPr>
          <w:sz w:val="28"/>
          <w:szCs w:val="28"/>
        </w:rPr>
        <w:t>Разумеется, для соблюдения всех этих требований нужно использовать аналитические методы контроля объемов газа в пласте. В качестве «настольного» метода</w:t>
      </w:r>
      <w:r w:rsidR="00637ACC">
        <w:rPr>
          <w:sz w:val="28"/>
          <w:szCs w:val="28"/>
        </w:rPr>
        <w:t xml:space="preserve"> любого инженера использую</w:t>
      </w:r>
      <w:r>
        <w:rPr>
          <w:sz w:val="28"/>
          <w:szCs w:val="28"/>
        </w:rPr>
        <w:t>тся объемный способ оценк</w:t>
      </w:r>
      <w:r w:rsidR="00637ACC">
        <w:rPr>
          <w:sz w:val="28"/>
          <w:szCs w:val="28"/>
        </w:rPr>
        <w:t>и составляющих объемов в пласте и метод материального баланса.</w:t>
      </w:r>
    </w:p>
    <w:p w:rsidR="009C7258" w:rsidRDefault="009C7258" w:rsidP="009C7258">
      <w:pPr>
        <w:pStyle w:val="1"/>
      </w:pPr>
      <w:r>
        <w:t>Объемный метод</w:t>
      </w:r>
    </w:p>
    <w:p w:rsidR="00E42E76" w:rsidRPr="00E42E76" w:rsidRDefault="00E42E76" w:rsidP="00E42E76">
      <w:pPr>
        <w:rPr>
          <w:sz w:val="28"/>
          <w:szCs w:val="28"/>
        </w:rPr>
      </w:pPr>
      <w:r w:rsidRPr="00E42E76">
        <w:rPr>
          <w:sz w:val="28"/>
          <w:szCs w:val="28"/>
        </w:rPr>
        <w:t>Объек</w:t>
      </w:r>
      <w:r>
        <w:rPr>
          <w:sz w:val="28"/>
          <w:szCs w:val="28"/>
        </w:rPr>
        <w:t xml:space="preserve">том исследования объемного метода является поровое пространство в рабочем пласте. Объемный метод требует большого количества информации о хранилище, включающей в себя структурные карты горизонтов, замеры забойного давления и показатели испытаний хранилища. </w:t>
      </w:r>
    </w:p>
    <w:p w:rsidR="009C7258" w:rsidRDefault="00637ACC" w:rsidP="009C7258">
      <w:pPr>
        <w:rPr>
          <w:sz w:val="28"/>
          <w:szCs w:val="28"/>
        </w:rPr>
      </w:pPr>
      <w:r>
        <w:rPr>
          <w:sz w:val="28"/>
          <w:szCs w:val="28"/>
        </w:rPr>
        <w:t xml:space="preserve">Рассмотрим два случая расчёта рабочего объема ПХГ: в качестве емкости </w:t>
      </w:r>
      <w:r w:rsidR="00E42E76">
        <w:rPr>
          <w:sz w:val="28"/>
          <w:szCs w:val="28"/>
        </w:rPr>
        <w:t>использую</w:t>
      </w:r>
      <w:r>
        <w:rPr>
          <w:sz w:val="28"/>
          <w:szCs w:val="28"/>
        </w:rPr>
        <w:t>тся газовые коллекторы с упругим режимом и</w:t>
      </w:r>
      <w:r w:rsidR="00E42E76">
        <w:rPr>
          <w:sz w:val="28"/>
          <w:szCs w:val="28"/>
        </w:rPr>
        <w:t>ли используются</w:t>
      </w:r>
      <w:r>
        <w:rPr>
          <w:sz w:val="28"/>
          <w:szCs w:val="28"/>
        </w:rPr>
        <w:t xml:space="preserve"> хранилища с водоносным горизонтом. </w:t>
      </w:r>
    </w:p>
    <w:p w:rsidR="00E42E76" w:rsidRPr="00E42E76" w:rsidRDefault="00E42E76" w:rsidP="00E42E76">
      <w:pPr>
        <w:pStyle w:val="4"/>
        <w:rPr>
          <w:sz w:val="32"/>
          <w:szCs w:val="32"/>
        </w:rPr>
      </w:pPr>
      <w:r w:rsidRPr="00E42E76">
        <w:rPr>
          <w:sz w:val="32"/>
          <w:szCs w:val="32"/>
        </w:rPr>
        <w:t>Коллекторы с упругим режимом</w:t>
      </w:r>
    </w:p>
    <w:p w:rsidR="0059418C" w:rsidRDefault="00E42E76" w:rsidP="00E42E76">
      <w:pPr>
        <w:rPr>
          <w:sz w:val="28"/>
          <w:szCs w:val="28"/>
        </w:rPr>
      </w:pPr>
      <w:r>
        <w:rPr>
          <w:sz w:val="28"/>
          <w:szCs w:val="28"/>
        </w:rPr>
        <w:t>Из названия метода следует, что в качестве пространства для хранилища будет использоваться полость полностью закрытая низко проницаемыми</w:t>
      </w:r>
      <w:r w:rsidR="0059418C">
        <w:rPr>
          <w:sz w:val="28"/>
          <w:szCs w:val="28"/>
        </w:rPr>
        <w:t xml:space="preserve"> </w:t>
      </w:r>
      <w:proofErr w:type="spellStart"/>
      <w:r w:rsidR="0059418C">
        <w:rPr>
          <w:sz w:val="28"/>
          <w:szCs w:val="28"/>
        </w:rPr>
        <w:t>флюидоупорами</w:t>
      </w:r>
      <w:proofErr w:type="spellEnd"/>
      <w:r w:rsidR="0059418C">
        <w:rPr>
          <w:sz w:val="28"/>
          <w:szCs w:val="28"/>
        </w:rPr>
        <w:t xml:space="preserve"> без каких-либо дополнительных внешних источников давления. </w:t>
      </w:r>
    </w:p>
    <w:p w:rsidR="0059418C" w:rsidRPr="0059418C" w:rsidRDefault="0059418C" w:rsidP="00E42E76">
      <w:pPr>
        <w:rPr>
          <w:sz w:val="28"/>
          <w:szCs w:val="28"/>
        </w:rPr>
      </w:pPr>
      <w:r>
        <w:rPr>
          <w:sz w:val="28"/>
          <w:szCs w:val="28"/>
        </w:rPr>
        <w:lastRenderedPageBreak/>
        <w:t xml:space="preserve">Запишем закон реального газа для нашего хранилища, где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lang w:val="en-US"/>
              </w:rPr>
              <m:t>g</m:t>
            </m:r>
            <m:r>
              <w:rPr>
                <w:rFonts w:ascii="Cambria Math" w:hAnsi="Cambria Math"/>
                <w:sz w:val="28"/>
                <w:szCs w:val="28"/>
              </w:rPr>
              <m:t>i</m:t>
            </m:r>
          </m:sub>
        </m:sSub>
      </m:oMath>
      <w:r w:rsidRPr="0059418C">
        <w:rPr>
          <w:rFonts w:eastAsiaTheme="minorEastAsia"/>
          <w:sz w:val="28"/>
          <w:szCs w:val="28"/>
        </w:rPr>
        <w:t xml:space="preserve"> </w:t>
      </w:r>
      <w:r>
        <w:rPr>
          <w:rFonts w:eastAsiaTheme="minorEastAsia"/>
          <w:sz w:val="28"/>
          <w:szCs w:val="28"/>
        </w:rPr>
        <w:t xml:space="preserve">это объем газа при начальных условиях, </w:t>
      </w:r>
      <m:oMath>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i</m:t>
            </m:r>
          </m:sub>
        </m:sSub>
      </m:oMath>
      <w:r>
        <w:rPr>
          <w:rFonts w:eastAsiaTheme="minorEastAsia"/>
          <w:sz w:val="36"/>
          <w:szCs w:val="36"/>
        </w:rPr>
        <w:t xml:space="preserve"> –</w:t>
      </w:r>
      <w:r w:rsidRPr="0059418C">
        <w:rPr>
          <w:rFonts w:eastAsiaTheme="minorEastAsia"/>
          <w:sz w:val="28"/>
          <w:szCs w:val="28"/>
        </w:rPr>
        <w:t>коэффициент сжимаемости газа, определенный при</w:t>
      </w:r>
      <w:r>
        <w:rPr>
          <w:rFonts w:eastAsiaTheme="minorEastAsia"/>
          <w:sz w:val="28"/>
          <w:szCs w:val="28"/>
        </w:rPr>
        <w:t xml:space="preserve"> </w:t>
      </w:r>
      <w:r w:rsidRPr="0059418C">
        <w:rPr>
          <w:rFonts w:eastAsiaTheme="minorEastAsia"/>
          <w:sz w:val="28"/>
          <w:szCs w:val="28"/>
        </w:rPr>
        <w:t>начальных условиях</w:t>
      </w:r>
      <w:r>
        <w:rPr>
          <w:rFonts w:eastAsiaTheme="minorEastAsia"/>
          <w:sz w:val="28"/>
          <w:szCs w:val="28"/>
        </w:rPr>
        <w:t xml:space="preserve">, </w:t>
      </w:r>
      <w:r w:rsidRPr="0059418C">
        <w:rPr>
          <w:rFonts w:eastAsiaTheme="minorEastAsia"/>
          <w:sz w:val="28"/>
          <w:szCs w:val="28"/>
        </w:rPr>
        <w:t xml:space="preserve"> </w:t>
      </w:r>
      <m:oMath>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oMath>
      <w:r>
        <w:rPr>
          <w:rFonts w:eastAsiaTheme="minorEastAsia"/>
          <w:sz w:val="36"/>
          <w:szCs w:val="36"/>
        </w:rPr>
        <w:t xml:space="preserve"> –</w:t>
      </w:r>
      <w:r>
        <w:rPr>
          <w:rFonts w:eastAsiaTheme="minorEastAsia"/>
          <w:sz w:val="28"/>
          <w:szCs w:val="28"/>
        </w:rPr>
        <w:t>начальное пластовое давление.</w:t>
      </w:r>
    </w:p>
    <w:p w:rsidR="0059418C" w:rsidRPr="0059418C" w:rsidRDefault="0059418C" w:rsidP="00E42E76">
      <w:pP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gi</m:t>
              </m:r>
            </m:sub>
          </m:sSub>
          <m:r>
            <w:rPr>
              <w:rFonts w:ascii="Cambria Math" w:hAnsi="Cambria Math"/>
              <w:sz w:val="36"/>
              <w:szCs w:val="36"/>
            </w:rPr>
            <m:t xml:space="preserve">=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i</m:t>
                  </m:r>
                </m:sub>
              </m:sSub>
              <m:r>
                <w:rPr>
                  <w:rFonts w:ascii="Cambria Math" w:hAnsi="Cambria Math"/>
                  <w:sz w:val="36"/>
                  <w:szCs w:val="36"/>
                </w:rPr>
                <m:t>nRT</m:t>
              </m:r>
            </m:num>
            <m:den>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den>
          </m:f>
        </m:oMath>
      </m:oMathPara>
    </w:p>
    <w:p w:rsidR="0059418C" w:rsidRDefault="0059418C" w:rsidP="00E42E76">
      <w:pPr>
        <w:rPr>
          <w:rFonts w:eastAsiaTheme="minorEastAsia"/>
          <w:sz w:val="28"/>
          <w:szCs w:val="28"/>
        </w:rPr>
      </w:pPr>
      <w:r w:rsidRPr="0059418C">
        <w:rPr>
          <w:rFonts w:eastAsiaTheme="minorEastAsia"/>
          <w:sz w:val="28"/>
          <w:szCs w:val="28"/>
        </w:rPr>
        <w:t xml:space="preserve">Тогда </w:t>
      </w:r>
      <w:r>
        <w:rPr>
          <w:rFonts w:eastAsiaTheme="minorEastAsia"/>
          <w:sz w:val="28"/>
          <w:szCs w:val="28"/>
        </w:rPr>
        <w:t>при стандартных условиях объем газа будет рассчитываться по формуле:</w:t>
      </w:r>
    </w:p>
    <w:p w:rsidR="0059418C" w:rsidRPr="001C4F72" w:rsidRDefault="0059418C" w:rsidP="0059418C">
      <w:pP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lang w:val="en-US"/>
                </w:rPr>
                <m:t>sc</m:t>
              </m:r>
            </m:sub>
          </m:sSub>
          <m:r>
            <w:rPr>
              <w:rFonts w:ascii="Cambria Math" w:hAnsi="Cambria Math"/>
              <w:sz w:val="36"/>
              <w:szCs w:val="36"/>
            </w:rPr>
            <m:t>=G</m:t>
          </m:r>
          <m:r>
            <w:rPr>
              <w:rFonts w:ascii="Cambria Math" w:hAnsi="Cambria Math"/>
              <w:sz w:val="36"/>
              <w:szCs w:val="36"/>
            </w:rPr>
            <m:t xml:space="preserve">=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sc</m:t>
                  </m:r>
                </m:sub>
              </m:sSub>
              <m:r>
                <w:rPr>
                  <w:rFonts w:ascii="Cambria Math" w:hAnsi="Cambria Math"/>
                  <w:sz w:val="36"/>
                  <w:szCs w:val="36"/>
                </w:rPr>
                <m:t>nR</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sc</m:t>
                  </m:r>
                </m:sub>
              </m:sSub>
            </m:num>
            <m:den>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sc</m:t>
                  </m:r>
                </m:sub>
              </m:sSub>
            </m:den>
          </m:f>
        </m:oMath>
      </m:oMathPara>
    </w:p>
    <w:p w:rsidR="001C4F72" w:rsidRDefault="001C4F72" w:rsidP="0059418C">
      <w:pPr>
        <w:rPr>
          <w:rFonts w:eastAsiaTheme="minorEastAsia"/>
          <w:sz w:val="28"/>
          <w:szCs w:val="28"/>
        </w:rPr>
      </w:pPr>
      <w:r w:rsidRPr="001C4F72">
        <w:rPr>
          <w:rFonts w:eastAsiaTheme="minorEastAsia"/>
          <w:sz w:val="28"/>
          <w:szCs w:val="28"/>
        </w:rPr>
        <w:t>Считая, что количество молей газа при начальных условиях и стандартных неизменно, решим уравнение для начального объема газа:</w:t>
      </w:r>
    </w:p>
    <w:p w:rsidR="001C4F72" w:rsidRPr="001C4F72" w:rsidRDefault="001C4F72" w:rsidP="0059418C">
      <w:pPr>
        <w:rPr>
          <w:rFonts w:eastAsiaTheme="minorEastAsia"/>
          <w:sz w:val="36"/>
          <w:szCs w:val="36"/>
        </w:rPr>
      </w:pPr>
      <m:oMathPara>
        <m:oMath>
          <m:r>
            <w:rPr>
              <w:rFonts w:ascii="Cambria Math" w:hAnsi="Cambria Math"/>
              <w:sz w:val="36"/>
              <w:szCs w:val="36"/>
            </w:rPr>
            <m:t>G</m:t>
          </m:r>
          <m:r>
            <w:rPr>
              <w:rFonts w:ascii="Cambria Math" w:hAnsi="Cambria Math"/>
              <w:sz w:val="36"/>
              <w:szCs w:val="36"/>
            </w:rPr>
            <m:t xml:space="preserve">=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sc</m:t>
                  </m:r>
                </m:sub>
              </m:sSub>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sc</m:t>
                  </m:r>
                </m:sub>
              </m:sSub>
            </m:num>
            <m:den>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sc</m:t>
                  </m:r>
                </m:sub>
              </m:sSub>
            </m:den>
          </m:f>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lang w:val="en-US"/>
                    </w:rPr>
                    <m:t>p</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gi</m:t>
                  </m:r>
                </m:sub>
              </m:sSub>
            </m:num>
            <m:den>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i</m:t>
                  </m:r>
                </m:sub>
              </m:sSub>
              <m:r>
                <w:rPr>
                  <w:rFonts w:ascii="Cambria Math" w:hAnsi="Cambria Math"/>
                  <w:sz w:val="36"/>
                  <w:szCs w:val="36"/>
                </w:rPr>
                <m:t>T</m:t>
              </m:r>
            </m:den>
          </m:f>
        </m:oMath>
      </m:oMathPara>
    </w:p>
    <w:p w:rsidR="001C4F72" w:rsidRDefault="001C4F72" w:rsidP="0059418C">
      <w:pPr>
        <w:rPr>
          <w:rFonts w:eastAsiaTheme="minorEastAsia"/>
          <w:sz w:val="28"/>
          <w:szCs w:val="28"/>
        </w:rPr>
      </w:pPr>
      <w:r>
        <w:rPr>
          <w:rFonts w:eastAsiaTheme="minorEastAsia"/>
          <w:sz w:val="28"/>
          <w:szCs w:val="28"/>
        </w:rPr>
        <w:t>Считая, что объем хранилища остается неизменным в течении всего времени эксплуатации, получим:</w:t>
      </w:r>
    </w:p>
    <w:p w:rsidR="001C4F72" w:rsidRPr="001C4F72" w:rsidRDefault="001C4F72" w:rsidP="0059418C">
      <w:pPr>
        <w:rPr>
          <w:rFonts w:eastAsiaTheme="minorEastAsia"/>
          <w:i/>
          <w:sz w:val="36"/>
          <w:szCs w:val="36"/>
          <w:lang w:val="en-US"/>
        </w:rPr>
      </w:pPr>
      <m:oMathPara>
        <m:oMath>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gi</m:t>
              </m:r>
            </m:sub>
          </m:sSub>
          <m:r>
            <w:rPr>
              <w:rFonts w:ascii="Cambria Math" w:hAnsi="Cambria Math"/>
              <w:sz w:val="36"/>
              <w:szCs w:val="36"/>
            </w:rPr>
            <m:t>=</m:t>
          </m:r>
          <m:r>
            <w:rPr>
              <w:rFonts w:ascii="Cambria Math" w:hAnsi="Cambria Math"/>
              <w:sz w:val="36"/>
              <w:szCs w:val="36"/>
              <w:lang w:val="en-US"/>
            </w:rPr>
            <m:t>Ahφ(1-</m:t>
          </m:r>
          <m:sSub>
            <m:sSubPr>
              <m:ctrlPr>
                <w:rPr>
                  <w:rFonts w:ascii="Cambria Math" w:hAnsi="Cambria Math"/>
                  <w:i/>
                  <w:sz w:val="36"/>
                  <w:szCs w:val="36"/>
                  <w:lang w:val="en-US"/>
                </w:rPr>
              </m:ctrlPr>
            </m:sSubPr>
            <m:e>
              <m:r>
                <w:rPr>
                  <w:rFonts w:ascii="Cambria Math" w:hAnsi="Cambria Math"/>
                  <w:sz w:val="36"/>
                  <w:szCs w:val="36"/>
                  <w:lang w:val="en-US"/>
                </w:rPr>
                <m:t>S</m:t>
              </m:r>
            </m:e>
            <m:sub>
              <m:r>
                <w:rPr>
                  <w:rFonts w:ascii="Cambria Math" w:hAnsi="Cambria Math"/>
                  <w:sz w:val="36"/>
                  <w:szCs w:val="36"/>
                  <w:lang w:val="en-US"/>
                </w:rPr>
                <m:t>wi</m:t>
              </m:r>
            </m:sub>
          </m:sSub>
          <m:r>
            <w:rPr>
              <w:rFonts w:ascii="Cambria Math" w:hAnsi="Cambria Math"/>
              <w:sz w:val="36"/>
              <w:szCs w:val="36"/>
              <w:lang w:val="en-US"/>
            </w:rPr>
            <m:t>)</m:t>
          </m:r>
        </m:oMath>
      </m:oMathPara>
    </w:p>
    <w:p w:rsidR="001C4F72" w:rsidRDefault="001C4F72" w:rsidP="0059418C">
      <w:pPr>
        <w:rPr>
          <w:rFonts w:eastAsiaTheme="minorEastAsia"/>
          <w:sz w:val="28"/>
          <w:szCs w:val="28"/>
        </w:rPr>
      </w:pPr>
      <w:r>
        <w:rPr>
          <w:rFonts w:eastAsiaTheme="minorEastAsia"/>
          <w:sz w:val="28"/>
          <w:szCs w:val="28"/>
        </w:rPr>
        <w:t xml:space="preserve">где </w:t>
      </w:r>
      <w:r>
        <w:rPr>
          <w:rFonts w:eastAsiaTheme="minorEastAsia"/>
          <w:sz w:val="28"/>
          <w:szCs w:val="28"/>
          <w:lang w:val="en-US"/>
        </w:rPr>
        <w:t>A</w:t>
      </w:r>
      <w:r w:rsidRPr="001C4F72">
        <w:rPr>
          <w:rFonts w:eastAsiaTheme="minorEastAsia"/>
          <w:sz w:val="28"/>
          <w:szCs w:val="28"/>
        </w:rPr>
        <w:t xml:space="preserve">, </w:t>
      </w:r>
      <w:r>
        <w:rPr>
          <w:rFonts w:eastAsiaTheme="minorEastAsia"/>
          <w:sz w:val="28"/>
          <w:szCs w:val="28"/>
          <w:lang w:val="en-US"/>
        </w:rPr>
        <w:t>h</w:t>
      </w:r>
      <w:r w:rsidRPr="001C4F72">
        <w:rPr>
          <w:rFonts w:eastAsiaTheme="minorEastAsia"/>
          <w:sz w:val="28"/>
          <w:szCs w:val="28"/>
        </w:rPr>
        <w:t xml:space="preserve"> </w:t>
      </w:r>
      <w:r>
        <w:rPr>
          <w:rFonts w:eastAsiaTheme="minorEastAsia"/>
          <w:sz w:val="28"/>
          <w:szCs w:val="28"/>
        </w:rPr>
        <w:t xml:space="preserve">–геометрические размеры хранилища, </w:t>
      </w:r>
      <m:oMath>
        <m:r>
          <w:rPr>
            <w:rFonts w:ascii="Cambria Math" w:hAnsi="Cambria Math"/>
            <w:sz w:val="36"/>
            <w:szCs w:val="36"/>
            <w:lang w:val="en-US"/>
          </w:rPr>
          <m:t>φ</m:t>
        </m:r>
      </m:oMath>
      <w:r>
        <w:rPr>
          <w:rFonts w:eastAsiaTheme="minorEastAsia"/>
          <w:sz w:val="36"/>
          <w:szCs w:val="36"/>
        </w:rPr>
        <w:t xml:space="preserve"> –</w:t>
      </w:r>
      <w:r w:rsidRPr="001C4F72">
        <w:rPr>
          <w:rFonts w:eastAsiaTheme="minorEastAsia"/>
          <w:sz w:val="28"/>
          <w:szCs w:val="28"/>
        </w:rPr>
        <w:t>пористость</w:t>
      </w:r>
      <w:r>
        <w:rPr>
          <w:rFonts w:eastAsiaTheme="minorEastAsia"/>
          <w:sz w:val="28"/>
          <w:szCs w:val="28"/>
        </w:rPr>
        <w:t xml:space="preserve">, </w:t>
      </w:r>
      <w:r>
        <w:rPr>
          <w:rFonts w:eastAsiaTheme="minorEastAsia"/>
          <w:sz w:val="28"/>
          <w:szCs w:val="28"/>
          <w:lang w:val="en-US"/>
        </w:rPr>
        <w:t>S</w:t>
      </w:r>
      <w:r w:rsidRPr="001C4F72">
        <w:rPr>
          <w:rFonts w:eastAsiaTheme="minorEastAsia"/>
          <w:sz w:val="28"/>
          <w:szCs w:val="28"/>
        </w:rPr>
        <w:t xml:space="preserve"> </w:t>
      </w:r>
      <w:r>
        <w:rPr>
          <w:rFonts w:eastAsiaTheme="minorEastAsia"/>
          <w:sz w:val="28"/>
          <w:szCs w:val="28"/>
        </w:rPr>
        <w:t>–начальная насыщенность водой.</w:t>
      </w:r>
    </w:p>
    <w:p w:rsidR="001C4F72" w:rsidRDefault="00AE5F10" w:rsidP="0059418C">
      <w:pPr>
        <w:rPr>
          <w:rFonts w:eastAsiaTheme="minorEastAsia"/>
          <w:sz w:val="28"/>
          <w:szCs w:val="28"/>
        </w:rPr>
      </w:pPr>
      <w:r>
        <w:rPr>
          <w:rFonts w:eastAsiaTheme="minorEastAsia"/>
          <w:sz w:val="28"/>
          <w:szCs w:val="28"/>
        </w:rPr>
        <w:t>Подставляя объем получаем:</w:t>
      </w:r>
    </w:p>
    <w:p w:rsidR="00AE5F10" w:rsidRPr="00AE5F10" w:rsidRDefault="00AE5F10" w:rsidP="00AE5F10">
      <w:pPr>
        <w:rPr>
          <w:rFonts w:eastAsiaTheme="minorEastAsia"/>
          <w:sz w:val="36"/>
          <w:szCs w:val="36"/>
        </w:rPr>
      </w:pPr>
      <m:oMathPara>
        <m:oMath>
          <m:r>
            <w:rPr>
              <w:rFonts w:ascii="Cambria Math" w:hAnsi="Cambria Math"/>
              <w:sz w:val="36"/>
              <w:szCs w:val="36"/>
            </w:rPr>
            <m:t>G</m:t>
          </m:r>
          <m:r>
            <w:rPr>
              <w:rFonts w:ascii="Cambria Math" w:hAnsi="Cambria Math"/>
              <w:sz w:val="36"/>
              <w:szCs w:val="36"/>
            </w:rPr>
            <m:t xml:space="preserve">=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sc</m:t>
                  </m:r>
                </m:sub>
              </m:sSub>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sc</m:t>
                  </m:r>
                </m:sub>
              </m:sSub>
            </m:num>
            <m:den>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sc</m:t>
                  </m:r>
                </m:sub>
              </m:sSub>
            </m:den>
          </m:f>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lang w:val="en-US"/>
                    </w:rPr>
                    <m:t>p</m:t>
                  </m:r>
                </m:e>
                <m:sub>
                  <m:r>
                    <w:rPr>
                      <w:rFonts w:ascii="Cambria Math" w:hAnsi="Cambria Math"/>
                      <w:sz w:val="36"/>
                      <w:szCs w:val="36"/>
                    </w:rPr>
                    <m:t>i</m:t>
                  </m:r>
                </m:sub>
              </m:sSub>
              <m:r>
                <w:rPr>
                  <w:rFonts w:ascii="Cambria Math" w:hAnsi="Cambria Math"/>
                  <w:sz w:val="36"/>
                  <w:szCs w:val="36"/>
                  <w:lang w:val="en-US"/>
                </w:rPr>
                <m:t>Ahφ(1-</m:t>
              </m:r>
              <m:sSub>
                <m:sSubPr>
                  <m:ctrlPr>
                    <w:rPr>
                      <w:rFonts w:ascii="Cambria Math" w:hAnsi="Cambria Math"/>
                      <w:i/>
                      <w:sz w:val="36"/>
                      <w:szCs w:val="36"/>
                      <w:lang w:val="en-US"/>
                    </w:rPr>
                  </m:ctrlPr>
                </m:sSubPr>
                <m:e>
                  <m:r>
                    <w:rPr>
                      <w:rFonts w:ascii="Cambria Math" w:hAnsi="Cambria Math"/>
                      <w:sz w:val="36"/>
                      <w:szCs w:val="36"/>
                      <w:lang w:val="en-US"/>
                    </w:rPr>
                    <m:t>S</m:t>
                  </m:r>
                </m:e>
                <m:sub>
                  <m:r>
                    <w:rPr>
                      <w:rFonts w:ascii="Cambria Math" w:hAnsi="Cambria Math"/>
                      <w:sz w:val="36"/>
                      <w:szCs w:val="36"/>
                      <w:lang w:val="en-US"/>
                    </w:rPr>
                    <m:t>wi</m:t>
                  </m:r>
                </m:sub>
              </m:sSub>
              <m:r>
                <w:rPr>
                  <w:rFonts w:ascii="Cambria Math" w:hAnsi="Cambria Math"/>
                  <w:sz w:val="36"/>
                  <w:szCs w:val="36"/>
                  <w:lang w:val="en-US"/>
                </w:rPr>
                <m:t>)</m:t>
              </m:r>
            </m:num>
            <m:den>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i</m:t>
                  </m:r>
                </m:sub>
              </m:sSub>
              <m:r>
                <w:rPr>
                  <w:rFonts w:ascii="Cambria Math" w:hAnsi="Cambria Math"/>
                  <w:sz w:val="36"/>
                  <w:szCs w:val="36"/>
                </w:rPr>
                <m:t>T</m:t>
              </m:r>
            </m:den>
          </m:f>
        </m:oMath>
      </m:oMathPara>
    </w:p>
    <w:p w:rsidR="00AE5F10" w:rsidRDefault="00AE5F10" w:rsidP="00AE5F10">
      <w:pPr>
        <w:rPr>
          <w:rFonts w:eastAsiaTheme="minorEastAsia"/>
          <w:sz w:val="28"/>
          <w:szCs w:val="28"/>
        </w:rPr>
      </w:pPr>
      <w:r>
        <w:rPr>
          <w:rFonts w:eastAsiaTheme="minorEastAsia"/>
          <w:sz w:val="28"/>
          <w:szCs w:val="28"/>
        </w:rPr>
        <w:t>Переписав это выражении в удобном виде получаем:</w:t>
      </w:r>
    </w:p>
    <w:p w:rsidR="00AE5F10" w:rsidRPr="00AE5F10" w:rsidRDefault="00AE5F10" w:rsidP="00AE5F10">
      <w:pPr>
        <w:rPr>
          <w:rFonts w:eastAsiaTheme="minorEastAsia"/>
          <w:sz w:val="28"/>
          <w:szCs w:val="28"/>
        </w:rPr>
      </w:pPr>
    </w:p>
    <w:p w:rsidR="00AE5F10" w:rsidRPr="00AE5F10" w:rsidRDefault="00AE5F10" w:rsidP="00AE5F10">
      <w:pPr>
        <w:rPr>
          <w:rFonts w:eastAsiaTheme="minorEastAsia"/>
          <w:sz w:val="36"/>
          <w:szCs w:val="36"/>
        </w:rPr>
      </w:pPr>
      <m:oMathPara>
        <m:oMath>
          <m:r>
            <w:rPr>
              <w:rFonts w:ascii="Cambria Math" w:hAnsi="Cambria Math"/>
              <w:sz w:val="36"/>
              <w:szCs w:val="36"/>
            </w:rPr>
            <w:lastRenderedPageBreak/>
            <m:t>G</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lang w:val="en-US"/>
                </w:rPr>
                <m:t>Ahφ(1-</m:t>
              </m:r>
              <m:sSub>
                <m:sSubPr>
                  <m:ctrlPr>
                    <w:rPr>
                      <w:rFonts w:ascii="Cambria Math" w:hAnsi="Cambria Math"/>
                      <w:i/>
                      <w:sz w:val="36"/>
                      <w:szCs w:val="36"/>
                      <w:lang w:val="en-US"/>
                    </w:rPr>
                  </m:ctrlPr>
                </m:sSubPr>
                <m:e>
                  <m:r>
                    <w:rPr>
                      <w:rFonts w:ascii="Cambria Math" w:hAnsi="Cambria Math"/>
                      <w:sz w:val="36"/>
                      <w:szCs w:val="36"/>
                      <w:lang w:val="en-US"/>
                    </w:rPr>
                    <m:t>S</m:t>
                  </m:r>
                </m:e>
                <m:sub>
                  <m:r>
                    <w:rPr>
                      <w:rFonts w:ascii="Cambria Math" w:hAnsi="Cambria Math"/>
                      <w:sz w:val="36"/>
                      <w:szCs w:val="36"/>
                      <w:lang w:val="en-US"/>
                    </w:rPr>
                    <m:t>wi</m:t>
                  </m:r>
                </m:sub>
              </m:sSub>
              <m:r>
                <w:rPr>
                  <w:rFonts w:ascii="Cambria Math" w:hAnsi="Cambria Math"/>
                  <w:sz w:val="36"/>
                  <w:szCs w:val="36"/>
                  <w:lang w:val="en-US"/>
                </w:rPr>
                <m:t>)</m:t>
              </m:r>
            </m:num>
            <m:den>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gi</m:t>
                  </m:r>
                </m:sub>
              </m:sSub>
            </m:den>
          </m:f>
        </m:oMath>
      </m:oMathPara>
    </w:p>
    <w:p w:rsidR="00AE5F10" w:rsidRDefault="00AE5F10" w:rsidP="00AE5F10">
      <w:pPr>
        <w:rPr>
          <w:rFonts w:eastAsiaTheme="minorEastAsia"/>
          <w:sz w:val="28"/>
          <w:szCs w:val="28"/>
        </w:rPr>
      </w:pPr>
      <w:r>
        <w:rPr>
          <w:rFonts w:eastAsiaTheme="minorEastAsia"/>
          <w:sz w:val="28"/>
          <w:szCs w:val="28"/>
        </w:rPr>
        <w:t xml:space="preserve">Где </w:t>
      </w:r>
      <m:oMath>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gi</m:t>
            </m:r>
          </m:sub>
        </m:sSub>
      </m:oMath>
      <w:r>
        <w:rPr>
          <w:rFonts w:eastAsiaTheme="minorEastAsia"/>
          <w:sz w:val="36"/>
          <w:szCs w:val="36"/>
        </w:rPr>
        <w:t xml:space="preserve"> </w:t>
      </w:r>
      <w:r>
        <w:rPr>
          <w:rFonts w:eastAsiaTheme="minorEastAsia"/>
          <w:sz w:val="28"/>
          <w:szCs w:val="28"/>
        </w:rPr>
        <w:t>это объемный коэффициент газа.</w:t>
      </w:r>
    </w:p>
    <w:p w:rsidR="00AE5F10" w:rsidRDefault="00AE5F10" w:rsidP="00AE5F10">
      <w:pPr>
        <w:rPr>
          <w:rFonts w:eastAsiaTheme="minorEastAsia"/>
          <w:sz w:val="28"/>
          <w:szCs w:val="28"/>
        </w:rPr>
      </w:pPr>
      <w:r>
        <w:rPr>
          <w:rFonts w:eastAsiaTheme="minorEastAsia"/>
          <w:sz w:val="28"/>
          <w:szCs w:val="28"/>
        </w:rPr>
        <w:t xml:space="preserve">Используя полученные данные можно вывести коэффициент </w:t>
      </w:r>
      <w:proofErr w:type="spellStart"/>
      <w:r>
        <w:rPr>
          <w:rFonts w:eastAsiaTheme="minorEastAsia"/>
          <w:sz w:val="28"/>
          <w:szCs w:val="28"/>
        </w:rPr>
        <w:t>газоотдачи</w:t>
      </w:r>
      <w:proofErr w:type="spellEnd"/>
      <w:r>
        <w:rPr>
          <w:rFonts w:eastAsiaTheme="minorEastAsia"/>
          <w:sz w:val="28"/>
          <w:szCs w:val="28"/>
        </w:rPr>
        <w:t xml:space="preserve"> ПХГ.</w:t>
      </w:r>
    </w:p>
    <w:p w:rsidR="00AE5F10" w:rsidRPr="00AE5F10" w:rsidRDefault="00AE5F10" w:rsidP="00AE5F10">
      <w:pPr>
        <w:rPr>
          <w:rFonts w:eastAsiaTheme="minorEastAsia"/>
          <w:sz w:val="36"/>
          <w:szCs w:val="36"/>
        </w:rPr>
      </w:pPr>
      <m:oMathPara>
        <m:oMath>
          <m:r>
            <w:rPr>
              <w:rFonts w:ascii="Cambria Math" w:eastAsiaTheme="minorEastAsia" w:hAnsi="Cambria Math"/>
              <w:sz w:val="36"/>
              <w:szCs w:val="36"/>
            </w:rPr>
            <m:t xml:space="preserve">F=1-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B</m:t>
                  </m:r>
                </m:e>
                <m:sub>
                  <m:r>
                    <w:rPr>
                      <w:rFonts w:ascii="Cambria Math" w:eastAsiaTheme="minorEastAsia" w:hAnsi="Cambria Math"/>
                      <w:sz w:val="36"/>
                      <w:szCs w:val="36"/>
                    </w:rPr>
                    <m:t>gi</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B</m:t>
                  </m:r>
                </m:e>
                <m:sub>
                  <m:r>
                    <w:rPr>
                      <w:rFonts w:ascii="Cambria Math" w:eastAsiaTheme="minorEastAsia" w:hAnsi="Cambria Math"/>
                      <w:sz w:val="36"/>
                      <w:szCs w:val="36"/>
                    </w:rPr>
                    <m:t>ga</m:t>
                  </m:r>
                </m:sub>
              </m:sSub>
            </m:den>
          </m:f>
        </m:oMath>
      </m:oMathPara>
    </w:p>
    <w:p w:rsidR="00AE5F10" w:rsidRPr="00AE5F10" w:rsidRDefault="00AE5F10" w:rsidP="00AE5F10">
      <w:pPr>
        <w:rPr>
          <w:rFonts w:eastAsiaTheme="minorEastAsia"/>
          <w:sz w:val="28"/>
          <w:szCs w:val="28"/>
        </w:rPr>
      </w:pPr>
      <w:r>
        <w:rPr>
          <w:rFonts w:eastAsiaTheme="minorEastAsia"/>
          <w:sz w:val="28"/>
          <w:szCs w:val="28"/>
        </w:rPr>
        <w:t xml:space="preserve">Где </w:t>
      </w:r>
      <m:oMath>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rPr>
              <m:t>ga</m:t>
            </m:r>
          </m:sub>
        </m:sSub>
      </m:oMath>
      <w:r>
        <w:rPr>
          <w:rFonts w:eastAsiaTheme="minorEastAsia"/>
          <w:sz w:val="28"/>
          <w:szCs w:val="28"/>
        </w:rPr>
        <w:t xml:space="preserve"> –объемный коэффициент при давлении хранилища, содержащего исключительно буферный газ.</w:t>
      </w:r>
    </w:p>
    <w:p w:rsidR="0059418C" w:rsidRPr="009F72FE" w:rsidRDefault="00AE5F10" w:rsidP="00E42E76">
      <w:pPr>
        <w:rPr>
          <w:rFonts w:eastAsiaTheme="minorEastAsia"/>
          <w:sz w:val="28"/>
          <w:szCs w:val="28"/>
        </w:rPr>
      </w:pPr>
      <w:r>
        <w:rPr>
          <w:rFonts w:eastAsiaTheme="minorEastAsia"/>
          <w:sz w:val="28"/>
          <w:szCs w:val="28"/>
        </w:rPr>
        <w:t xml:space="preserve">Очевидно, что данный метод основывается на </w:t>
      </w:r>
      <w:r w:rsidR="009F72FE">
        <w:rPr>
          <w:rFonts w:eastAsiaTheme="minorEastAsia"/>
          <w:sz w:val="28"/>
          <w:szCs w:val="28"/>
        </w:rPr>
        <w:t xml:space="preserve">обычном расширении газа, который, несмотря на свою простоту позволяет извлекать из ПХГ 90% хранящегося там газа (учитывая буферный объем). Данный метод накладывает строгие ограничения на ПХГ, в плане </w:t>
      </w:r>
      <w:proofErr w:type="spellStart"/>
      <w:r w:rsidR="009F72FE">
        <w:rPr>
          <w:rFonts w:eastAsiaTheme="minorEastAsia"/>
          <w:sz w:val="28"/>
          <w:szCs w:val="28"/>
        </w:rPr>
        <w:t>водонасыщенности</w:t>
      </w:r>
      <w:proofErr w:type="spellEnd"/>
      <w:r w:rsidR="009F72FE">
        <w:rPr>
          <w:rFonts w:eastAsiaTheme="minorEastAsia"/>
          <w:sz w:val="28"/>
          <w:szCs w:val="28"/>
        </w:rPr>
        <w:t xml:space="preserve"> коллектора. Для расчёта объемов с учетом водоносного горизонта применяется модернизированный объемный метод, который мы сейчас рассмотрим.</w:t>
      </w:r>
    </w:p>
    <w:p w:rsidR="00E42E76" w:rsidRPr="00E42E76" w:rsidRDefault="00E42E76" w:rsidP="00E42E76">
      <w:pPr>
        <w:pStyle w:val="4"/>
        <w:rPr>
          <w:sz w:val="32"/>
          <w:szCs w:val="32"/>
        </w:rPr>
      </w:pPr>
      <w:r w:rsidRPr="00E42E76">
        <w:rPr>
          <w:sz w:val="32"/>
          <w:szCs w:val="32"/>
        </w:rPr>
        <w:t>Коллекторы с водоносным горизонтом</w:t>
      </w:r>
    </w:p>
    <w:p w:rsidR="00E42E76" w:rsidRPr="00E42E76" w:rsidRDefault="00E42E76" w:rsidP="00E42E76"/>
    <w:p w:rsidR="00E42E76" w:rsidRDefault="00637ACC" w:rsidP="00E42E76">
      <w:pPr>
        <w:pStyle w:val="1"/>
        <w:rPr>
          <w:sz w:val="36"/>
          <w:szCs w:val="36"/>
        </w:rPr>
      </w:pPr>
      <w:r w:rsidRPr="005F687D">
        <w:rPr>
          <w:sz w:val="36"/>
          <w:szCs w:val="36"/>
        </w:rPr>
        <w:t>Метод материального баланса</w:t>
      </w:r>
    </w:p>
    <w:p w:rsidR="005F687D" w:rsidRPr="005F687D" w:rsidRDefault="005F687D" w:rsidP="005F687D"/>
    <w:p w:rsidR="00E14691" w:rsidRDefault="005F687D" w:rsidP="005F687D">
      <w:pPr>
        <w:pStyle w:val="4"/>
        <w:rPr>
          <w:sz w:val="32"/>
          <w:szCs w:val="32"/>
        </w:rPr>
      </w:pPr>
      <w:r w:rsidRPr="005F687D">
        <w:rPr>
          <w:sz w:val="32"/>
          <w:szCs w:val="32"/>
        </w:rPr>
        <w:t>Упругий режим</w:t>
      </w:r>
    </w:p>
    <w:p w:rsidR="005F687D" w:rsidRPr="005F687D" w:rsidRDefault="005F687D" w:rsidP="005F687D"/>
    <w:p w:rsidR="005F687D" w:rsidRDefault="005F687D" w:rsidP="005F687D">
      <w:pPr>
        <w:pStyle w:val="4"/>
        <w:rPr>
          <w:sz w:val="32"/>
          <w:szCs w:val="32"/>
        </w:rPr>
      </w:pPr>
      <w:r>
        <w:rPr>
          <w:sz w:val="32"/>
          <w:szCs w:val="32"/>
        </w:rPr>
        <w:t>Режим подпора воды</w:t>
      </w:r>
    </w:p>
    <w:p w:rsidR="005F687D" w:rsidRPr="005F687D" w:rsidRDefault="005F687D" w:rsidP="005F687D"/>
    <w:p w:rsidR="00E14691" w:rsidRPr="00D1197B" w:rsidRDefault="00D1197B" w:rsidP="00E14691">
      <w:pPr>
        <w:pStyle w:val="1"/>
        <w:rPr>
          <w:sz w:val="36"/>
          <w:szCs w:val="36"/>
        </w:rPr>
      </w:pPr>
      <w:r w:rsidRPr="00D1197B">
        <w:rPr>
          <w:sz w:val="36"/>
          <w:szCs w:val="36"/>
        </w:rPr>
        <w:lastRenderedPageBreak/>
        <w:t>Потери газа в ПХГ</w:t>
      </w:r>
    </w:p>
    <w:p w:rsidR="00E14691" w:rsidRPr="0018542C" w:rsidRDefault="00E14691" w:rsidP="00E14691">
      <w:pPr>
        <w:rPr>
          <w:sz w:val="28"/>
          <w:szCs w:val="28"/>
        </w:rPr>
      </w:pPr>
    </w:p>
    <w:p w:rsidR="00E14691" w:rsidRPr="00D1197B" w:rsidRDefault="00D1197B" w:rsidP="00E14691">
      <w:pPr>
        <w:pStyle w:val="1"/>
        <w:rPr>
          <w:sz w:val="36"/>
          <w:szCs w:val="36"/>
        </w:rPr>
      </w:pPr>
      <w:r w:rsidRPr="00D1197B">
        <w:rPr>
          <w:sz w:val="36"/>
          <w:szCs w:val="36"/>
        </w:rPr>
        <w:t>Примеры ПХГ</w:t>
      </w:r>
    </w:p>
    <w:p w:rsidR="00E14691" w:rsidRDefault="00E14691" w:rsidP="00E14691">
      <w:pPr>
        <w:rPr>
          <w:sz w:val="28"/>
          <w:szCs w:val="28"/>
        </w:rPr>
      </w:pPr>
      <w:bookmarkStart w:id="5" w:name="_GoBack"/>
      <w:bookmarkEnd w:id="5"/>
    </w:p>
    <w:p w:rsidR="00D1197B" w:rsidRPr="00D1197B" w:rsidRDefault="00D1197B" w:rsidP="00D1197B">
      <w:pPr>
        <w:pStyle w:val="1"/>
        <w:rPr>
          <w:sz w:val="36"/>
          <w:szCs w:val="36"/>
        </w:rPr>
      </w:pPr>
      <w:r w:rsidRPr="00D1197B">
        <w:rPr>
          <w:sz w:val="36"/>
          <w:szCs w:val="36"/>
        </w:rPr>
        <w:t>Заключение</w:t>
      </w:r>
    </w:p>
    <w:p w:rsidR="00E14691" w:rsidRPr="0018542C" w:rsidRDefault="00E14691" w:rsidP="00E14691">
      <w:pPr>
        <w:rPr>
          <w:sz w:val="28"/>
          <w:szCs w:val="28"/>
        </w:rPr>
      </w:pPr>
    </w:p>
    <w:sectPr w:rsidR="00E14691" w:rsidRPr="0018542C" w:rsidSect="009C529A">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16D" w:rsidRDefault="00EB016D" w:rsidP="00C6554A">
      <w:pPr>
        <w:spacing w:before="0" w:after="0" w:line="240" w:lineRule="auto"/>
      </w:pPr>
      <w:r>
        <w:separator/>
      </w:r>
    </w:p>
  </w:endnote>
  <w:endnote w:type="continuationSeparator" w:id="0">
    <w:p w:rsidR="00EB016D" w:rsidRDefault="00EB016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aa"/>
    </w:pPr>
    <w:r>
      <w:rPr>
        <w:lang w:bidi="ru-RU"/>
      </w:rPr>
      <w:t xml:space="preserve">Стр. </w:t>
    </w:r>
    <w:r>
      <w:rPr>
        <w:lang w:bidi="ru-RU"/>
      </w:rPr>
      <w:fldChar w:fldCharType="begin"/>
    </w:r>
    <w:r>
      <w:rPr>
        <w:lang w:bidi="ru-RU"/>
      </w:rPr>
      <w:instrText xml:space="preserve"> PAGE  \* Arabic  \* MERGEFORMAT </w:instrText>
    </w:r>
    <w:r>
      <w:rPr>
        <w:lang w:bidi="ru-RU"/>
      </w:rPr>
      <w:fldChar w:fldCharType="separate"/>
    </w:r>
    <w:r w:rsidR="00D1197B">
      <w:rPr>
        <w:noProof/>
        <w:lang w:bidi="ru-RU"/>
      </w:rPr>
      <w:t>10</w:t>
    </w:r>
    <w:r>
      <w:rPr>
        <w:lang w:bidi="ru-R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16D" w:rsidRDefault="00EB016D" w:rsidP="00C6554A">
      <w:pPr>
        <w:spacing w:before="0" w:after="0" w:line="240" w:lineRule="auto"/>
      </w:pPr>
      <w:r>
        <w:separator/>
      </w:r>
    </w:p>
  </w:footnote>
  <w:footnote w:type="continuationSeparator" w:id="0">
    <w:p w:rsidR="00EB016D" w:rsidRDefault="00EB016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325B8"/>
    <w:multiLevelType w:val="hybridMultilevel"/>
    <w:tmpl w:val="97D2C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EE7308"/>
    <w:multiLevelType w:val="hybridMultilevel"/>
    <w:tmpl w:val="71D2E9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ctiveWritingStyle w:appName="MSWord" w:lang="ru-RU"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89"/>
    <w:rsid w:val="000B65E0"/>
    <w:rsid w:val="0018542C"/>
    <w:rsid w:val="001B68F4"/>
    <w:rsid w:val="001C4F72"/>
    <w:rsid w:val="00244054"/>
    <w:rsid w:val="002554CD"/>
    <w:rsid w:val="00293B83"/>
    <w:rsid w:val="002B4294"/>
    <w:rsid w:val="00333D0D"/>
    <w:rsid w:val="00366C29"/>
    <w:rsid w:val="00376D2D"/>
    <w:rsid w:val="004C049F"/>
    <w:rsid w:val="005000E2"/>
    <w:rsid w:val="0059418C"/>
    <w:rsid w:val="005F687D"/>
    <w:rsid w:val="00637ACC"/>
    <w:rsid w:val="006A3CE7"/>
    <w:rsid w:val="007F3F64"/>
    <w:rsid w:val="00804DC6"/>
    <w:rsid w:val="008214A5"/>
    <w:rsid w:val="008F2014"/>
    <w:rsid w:val="009C529A"/>
    <w:rsid w:val="009C7258"/>
    <w:rsid w:val="009F72FE"/>
    <w:rsid w:val="00A851D6"/>
    <w:rsid w:val="00A956E8"/>
    <w:rsid w:val="00AE5F10"/>
    <w:rsid w:val="00B94408"/>
    <w:rsid w:val="00C44757"/>
    <w:rsid w:val="00C6554A"/>
    <w:rsid w:val="00CB61FF"/>
    <w:rsid w:val="00CD0C24"/>
    <w:rsid w:val="00D1197B"/>
    <w:rsid w:val="00D630E0"/>
    <w:rsid w:val="00D71A03"/>
    <w:rsid w:val="00E14691"/>
    <w:rsid w:val="00E42E76"/>
    <w:rsid w:val="00E46789"/>
    <w:rsid w:val="00EB016D"/>
    <w:rsid w:val="00ED7C44"/>
    <w:rsid w:val="00F0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24A7"/>
  <w15:chartTrackingRefBased/>
  <w15:docId w15:val="{78DEA0B2-877A-48A4-A2FA-1E5CE5A3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ru-RU"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4">
    <w:name w:val="heading 4"/>
    <w:basedOn w:val="a1"/>
    <w:next w:val="a1"/>
    <w:link w:val="40"/>
    <w:uiPriority w:val="9"/>
    <w:unhideWhenUsed/>
    <w:qFormat/>
    <w:rsid w:val="00D630E0"/>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Заголовок 2 Знак"/>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Контактные данные"/>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Заголовок Знак"/>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Подзаголовок Знак"/>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Нижний колонтитул Знак"/>
    <w:basedOn w:val="a2"/>
    <w:link w:val="aa"/>
    <w:uiPriority w:val="99"/>
    <w:rsid w:val="00C6554A"/>
    <w:rPr>
      <w:caps/>
    </w:rPr>
  </w:style>
  <w:style w:type="paragraph" w:customStyle="1" w:styleId="ac">
    <w:name w:val="Фото"/>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Верхний колонтитул Знак"/>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Заголовок 3 Знак"/>
    <w:basedOn w:val="a2"/>
    <w:link w:val="3"/>
    <w:uiPriority w:val="9"/>
    <w:rsid w:val="00C6554A"/>
    <w:rPr>
      <w:rFonts w:asciiTheme="majorHAnsi" w:eastAsiaTheme="majorEastAsia" w:hAnsiTheme="majorHAnsi" w:cstheme="majorBidi"/>
      <w:color w:val="004F5B" w:themeColor="accent1" w:themeShade="7F"/>
      <w:sz w:val="24"/>
      <w:szCs w:val="24"/>
    </w:rPr>
  </w:style>
  <w:style w:type="character" w:customStyle="1" w:styleId="80">
    <w:name w:val="Заголовок 8 Знак"/>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Заголовок 9 Знак"/>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Выделенная цитата Знак"/>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Текст выноски Знак"/>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Основной текст 3 Знак"/>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Основной текст с отступом 3 Знак"/>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Текст примечания Знак"/>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Тема примечания Знак"/>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Схема документа Знак"/>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Текст концевой сноски Знак"/>
    <w:basedOn w:val="a2"/>
    <w:link w:val="afe"/>
    <w:uiPriority w:val="99"/>
    <w:semiHidden/>
    <w:rsid w:val="00C6554A"/>
    <w:rPr>
      <w:szCs w:val="20"/>
    </w:rPr>
  </w:style>
  <w:style w:type="paragraph" w:styleId="21">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0">
    <w:name w:val="FollowedHyperlink"/>
    <w:basedOn w:val="a2"/>
    <w:uiPriority w:val="99"/>
    <w:semiHidden/>
    <w:unhideWhenUsed/>
    <w:rsid w:val="00C6554A"/>
    <w:rPr>
      <w:color w:val="007789" w:themeColor="accent1" w:themeShade="BF"/>
      <w:u w:val="single"/>
    </w:rPr>
  </w:style>
  <w:style w:type="paragraph" w:styleId="aff1">
    <w:name w:val="footnote text"/>
    <w:basedOn w:val="a1"/>
    <w:link w:val="aff2"/>
    <w:uiPriority w:val="99"/>
    <w:semiHidden/>
    <w:unhideWhenUsed/>
    <w:rsid w:val="00C6554A"/>
    <w:pPr>
      <w:spacing w:before="0" w:after="0" w:line="240" w:lineRule="auto"/>
    </w:pPr>
    <w:rPr>
      <w:szCs w:val="20"/>
    </w:rPr>
  </w:style>
  <w:style w:type="character" w:customStyle="1" w:styleId="aff2">
    <w:name w:val="Текст сноски Знак"/>
    <w:basedOn w:val="a2"/>
    <w:link w:val="aff1"/>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Стандартный HTML Знак"/>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3">
    <w:name w:val="Hyperlink"/>
    <w:basedOn w:val="a2"/>
    <w:uiPriority w:val="99"/>
    <w:unhideWhenUsed/>
    <w:rsid w:val="00C6554A"/>
    <w:rPr>
      <w:color w:val="835D00" w:themeColor="accent3" w:themeShade="80"/>
      <w:u w:val="single"/>
    </w:rPr>
  </w:style>
  <w:style w:type="paragraph" w:styleId="aff4">
    <w:name w:val="macro"/>
    <w:link w:val="aff5"/>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5">
    <w:name w:val="Текст макроса Знак"/>
    <w:basedOn w:val="a2"/>
    <w:link w:val="aff4"/>
    <w:uiPriority w:val="99"/>
    <w:semiHidden/>
    <w:rsid w:val="00C6554A"/>
    <w:rPr>
      <w:rFonts w:ascii="Consolas" w:hAnsi="Consolas"/>
      <w:szCs w:val="20"/>
    </w:rPr>
  </w:style>
  <w:style w:type="character" w:styleId="aff6">
    <w:name w:val="Placeholder Text"/>
    <w:basedOn w:val="a2"/>
    <w:uiPriority w:val="99"/>
    <w:semiHidden/>
    <w:rsid w:val="00C6554A"/>
    <w:rPr>
      <w:color w:val="595959" w:themeColor="text1" w:themeTint="A6"/>
    </w:rPr>
  </w:style>
  <w:style w:type="paragraph" w:styleId="aff7">
    <w:name w:val="Plain Text"/>
    <w:basedOn w:val="a1"/>
    <w:link w:val="aff8"/>
    <w:uiPriority w:val="99"/>
    <w:semiHidden/>
    <w:unhideWhenUsed/>
    <w:rsid w:val="00C6554A"/>
    <w:pPr>
      <w:spacing w:before="0" w:after="0" w:line="240" w:lineRule="auto"/>
    </w:pPr>
    <w:rPr>
      <w:rFonts w:ascii="Consolas" w:hAnsi="Consolas"/>
      <w:szCs w:val="21"/>
    </w:rPr>
  </w:style>
  <w:style w:type="character" w:customStyle="1" w:styleId="aff8">
    <w:name w:val="Текст Знак"/>
    <w:basedOn w:val="a2"/>
    <w:link w:val="aff7"/>
    <w:uiPriority w:val="99"/>
    <w:semiHidden/>
    <w:rsid w:val="00C6554A"/>
    <w:rPr>
      <w:rFonts w:ascii="Consolas" w:hAnsi="Consolas"/>
      <w:szCs w:val="21"/>
    </w:rPr>
  </w:style>
  <w:style w:type="character" w:customStyle="1" w:styleId="70">
    <w:name w:val="Заголовок 7 Знак"/>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Заголовок 6 Знак"/>
    <w:basedOn w:val="a2"/>
    <w:link w:val="6"/>
    <w:uiPriority w:val="9"/>
    <w:semiHidden/>
    <w:rsid w:val="002554CD"/>
    <w:rPr>
      <w:rFonts w:asciiTheme="majorHAnsi" w:eastAsiaTheme="majorEastAsia" w:hAnsiTheme="majorHAnsi" w:cstheme="majorBidi"/>
      <w:color w:val="004F5B" w:themeColor="accent1" w:themeShade="7F"/>
    </w:rPr>
  </w:style>
  <w:style w:type="paragraph" w:styleId="aff9">
    <w:name w:val="TOC Heading"/>
    <w:basedOn w:val="1"/>
    <w:next w:val="a1"/>
    <w:uiPriority w:val="39"/>
    <w:unhideWhenUsed/>
    <w:qFormat/>
    <w:rsid w:val="00E46789"/>
    <w:pPr>
      <w:spacing w:before="240" w:after="0" w:line="259" w:lineRule="auto"/>
      <w:contextualSpacing w:val="0"/>
      <w:outlineLvl w:val="9"/>
    </w:pPr>
    <w:rPr>
      <w:szCs w:val="32"/>
      <w:lang w:eastAsia="ru-RU"/>
    </w:rPr>
  </w:style>
  <w:style w:type="paragraph" w:styleId="11">
    <w:name w:val="toc 1"/>
    <w:basedOn w:val="a1"/>
    <w:next w:val="a1"/>
    <w:autoRedefine/>
    <w:uiPriority w:val="39"/>
    <w:unhideWhenUsed/>
    <w:rsid w:val="00E46789"/>
    <w:pPr>
      <w:spacing w:after="100"/>
    </w:pPr>
  </w:style>
  <w:style w:type="paragraph" w:styleId="22">
    <w:name w:val="toc 2"/>
    <w:basedOn w:val="a1"/>
    <w:next w:val="a1"/>
    <w:autoRedefine/>
    <w:uiPriority w:val="39"/>
    <w:unhideWhenUsed/>
    <w:rsid w:val="00E46789"/>
    <w:pPr>
      <w:spacing w:after="100"/>
      <w:ind w:left="220"/>
    </w:pPr>
  </w:style>
  <w:style w:type="paragraph" w:styleId="affa">
    <w:name w:val="List Paragraph"/>
    <w:basedOn w:val="a1"/>
    <w:uiPriority w:val="34"/>
    <w:unhideWhenUsed/>
    <w:qFormat/>
    <w:rsid w:val="008F2014"/>
    <w:pPr>
      <w:ind w:left="720"/>
      <w:contextualSpacing/>
    </w:pPr>
  </w:style>
  <w:style w:type="character" w:customStyle="1" w:styleId="40">
    <w:name w:val="Заголовок 4 Знак"/>
    <w:basedOn w:val="a2"/>
    <w:link w:val="4"/>
    <w:uiPriority w:val="9"/>
    <w:rsid w:val="00D630E0"/>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AppData\Roaming\Microsoft\&#1064;&#1072;&#1073;&#1083;&#1086;&#1085;&#1099;\&#1056;&#1077;&#1092;&#1077;&#1088;&#1072;&#1090;%20&#1089;%20&#1092;&#1086;&#1090;&#1086;&#1086;&#1073;&#1083;&#1086;&#1078;&#1082;&#1086;&#1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DB0"/>
    <w:rsid w:val="00426878"/>
    <w:rsid w:val="00670DB0"/>
    <w:rsid w:val="00DE2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876EE6FB0EF4074B46A7ED20B111110">
    <w:name w:val="F876EE6FB0EF4074B46A7ED20B111110"/>
  </w:style>
  <w:style w:type="paragraph" w:customStyle="1" w:styleId="87E1A677428E43C7BB0B8367C0FC39AB">
    <w:name w:val="87E1A677428E43C7BB0B8367C0FC39AB"/>
  </w:style>
  <w:style w:type="paragraph" w:customStyle="1" w:styleId="5F84F81AD54C4B8C9C47EC0D9F3DA673">
    <w:name w:val="5F84F81AD54C4B8C9C47EC0D9F3DA673"/>
  </w:style>
  <w:style w:type="paragraph" w:customStyle="1" w:styleId="42DD2418AF8F45DBBB75529BA0870604">
    <w:name w:val="42DD2418AF8F45DBBB75529BA0870604"/>
  </w:style>
  <w:style w:type="paragraph" w:customStyle="1" w:styleId="EA61D7A70FEF4357ABECE43BC3DB7784">
    <w:name w:val="EA61D7A70FEF4357ABECE43BC3DB7784"/>
  </w:style>
  <w:style w:type="paragraph" w:customStyle="1" w:styleId="0AB48EDADD6D473AA460C510A7430BC9">
    <w:name w:val="0AB48EDADD6D473AA460C510A7430BC9"/>
  </w:style>
  <w:style w:type="paragraph" w:customStyle="1" w:styleId="B913C0A702B74A009841F4E7E12ECC21">
    <w:name w:val="B913C0A702B74A009841F4E7E12ECC21"/>
  </w:style>
  <w:style w:type="paragraph" w:styleId="a">
    <w:name w:val="List Bullet"/>
    <w:basedOn w:val="a0"/>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8041931B9CA444C9B6CC5949A6B3C003">
    <w:name w:val="8041931B9CA444C9B6CC5949A6B3C003"/>
  </w:style>
  <w:style w:type="paragraph" w:customStyle="1" w:styleId="9F471A202E9A4CC694DEEB1D65EC81D2">
    <w:name w:val="9F471A202E9A4CC694DEEB1D65EC81D2"/>
  </w:style>
  <w:style w:type="paragraph" w:customStyle="1" w:styleId="DDFA023B85524CD2A48463DC6323A119">
    <w:name w:val="DDFA023B85524CD2A48463DC6323A119"/>
  </w:style>
  <w:style w:type="character" w:styleId="a4">
    <w:name w:val="Placeholder Text"/>
    <w:basedOn w:val="a1"/>
    <w:uiPriority w:val="99"/>
    <w:semiHidden/>
    <w:rsid w:val="00426878"/>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Реферат с фотообложкой.dotx</Template>
  <TotalTime>926</TotalTime>
  <Pages>11</Pages>
  <Words>1440</Words>
  <Characters>8214</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3</cp:revision>
  <dcterms:created xsi:type="dcterms:W3CDTF">2018-11-24T11:35:00Z</dcterms:created>
  <dcterms:modified xsi:type="dcterms:W3CDTF">2018-11-29T23:32:00Z</dcterms:modified>
</cp:coreProperties>
</file>