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3F747" w14:textId="77777777" w:rsidR="00006705" w:rsidRDefault="00000000">
      <w:pPr>
        <w:spacing w:after="40"/>
      </w:pPr>
      <w:r>
        <w:rPr>
          <w:rFonts w:ascii="Calibri" w:eastAsia="Calibri" w:hAnsi="Calibri" w:cs="Calibri"/>
          <w:b/>
          <w:bCs/>
          <w:color w:val="1F1F1F"/>
          <w:sz w:val="32"/>
          <w:szCs w:val="32"/>
        </w:rPr>
        <w:t>VALUATION MEMO</w:t>
      </w:r>
    </w:p>
    <w:p w14:paraId="2DF2430C" w14:textId="77777777" w:rsidR="00006705" w:rsidRDefault="00000000">
      <w:pPr>
        <w:pBdr>
          <w:bottom w:val="single" w:sz="6" w:space="4" w:color="999999"/>
        </w:pBdr>
        <w:spacing w:after="240"/>
      </w:pPr>
      <w:r>
        <w:rPr>
          <w:rFonts w:ascii="Calibri" w:eastAsia="Calibri" w:hAnsi="Calibri" w:cs="Calibri"/>
          <w:i/>
          <w:iCs/>
          <w:color w:val="444444"/>
          <w:sz w:val="22"/>
          <w:szCs w:val="22"/>
        </w:rPr>
        <w:t>Apple Inc. (AAPL) — Intrinsic Value Assessment</w:t>
      </w:r>
    </w:p>
    <w:p w14:paraId="07EC1CE0" w14:textId="1145D3C7" w:rsidR="00006705" w:rsidRDefault="00933B88">
      <w:pPr>
        <w:spacing w:after="60"/>
      </w:pPr>
      <w:r>
        <w:rPr>
          <w:rFonts w:ascii="Calibri" w:eastAsia="Calibri" w:hAnsi="Calibri" w:cs="Calibri"/>
          <w:b/>
          <w:bCs/>
          <w:sz w:val="21"/>
          <w:szCs w:val="21"/>
        </w:rPr>
        <w:t>Abdulloh Mirzaev</w:t>
      </w:r>
    </w:p>
    <w:p w14:paraId="081C72F4" w14:textId="77777777" w:rsidR="00006705" w:rsidRDefault="00000000">
      <w:pPr>
        <w:spacing w:after="60"/>
      </w:pPr>
      <w:r>
        <w:rPr>
          <w:rFonts w:ascii="Calibri" w:eastAsia="Calibri" w:hAnsi="Calibri" w:cs="Calibri"/>
          <w:b/>
          <w:bCs/>
          <w:sz w:val="21"/>
          <w:szCs w:val="21"/>
        </w:rPr>
        <w:t xml:space="preserve">Date: </w:t>
      </w:r>
      <w:r>
        <w:rPr>
          <w:rFonts w:ascii="Calibri" w:eastAsia="Calibri" w:hAnsi="Calibri" w:cs="Calibri"/>
          <w:sz w:val="21"/>
          <w:szCs w:val="21"/>
        </w:rPr>
        <w:t>September 5, 2026</w:t>
      </w:r>
    </w:p>
    <w:p w14:paraId="4672A93F" w14:textId="77777777" w:rsidR="00006705" w:rsidRDefault="00000000">
      <w:pPr>
        <w:spacing w:after="260"/>
      </w:pPr>
      <w:r>
        <w:rPr>
          <w:rFonts w:ascii="Calibri" w:eastAsia="Calibri" w:hAnsi="Calibri" w:cs="Calibri"/>
          <w:b/>
          <w:bCs/>
          <w:sz w:val="21"/>
          <w:szCs w:val="21"/>
        </w:rPr>
        <w:t xml:space="preserve">Re: </w:t>
      </w:r>
      <w:r>
        <w:rPr>
          <w:rFonts w:ascii="Calibri" w:eastAsia="Calibri" w:hAnsi="Calibri" w:cs="Calibri"/>
          <w:sz w:val="21"/>
          <w:szCs w:val="21"/>
        </w:rPr>
        <w:t>Discounted cash flow and comparable-company valuation of Apple Inc. (AAPL)</w:t>
      </w:r>
    </w:p>
    <w:p w14:paraId="37D3AEFA" w14:textId="77777777" w:rsidR="00006705" w:rsidRDefault="00000000">
      <w:pPr>
        <w:pStyle w:val="Heading2"/>
        <w:spacing w:before="280" w:after="120"/>
      </w:pPr>
      <w:r>
        <w:rPr>
          <w:rFonts w:ascii="Calibri" w:eastAsia="Calibri" w:hAnsi="Calibri" w:cs="Calibri"/>
          <w:b/>
          <w:bCs/>
          <w:color w:val="1F1F1F"/>
          <w:sz w:val="24"/>
          <w:szCs w:val="24"/>
        </w:rPr>
        <w:t>Summary</w:t>
      </w:r>
    </w:p>
    <w:p w14:paraId="4EEC8589" w14:textId="77777777" w:rsidR="00006705" w:rsidRDefault="00000000">
      <w:pPr>
        <w:spacing w:after="160" w:line="276" w:lineRule="auto"/>
      </w:pPr>
      <w:r>
        <w:rPr>
          <w:rFonts w:ascii="Calibri" w:eastAsia="Calibri" w:hAnsi="Calibri" w:cs="Calibri"/>
          <w:sz w:val="21"/>
          <w:szCs w:val="21"/>
        </w:rPr>
        <w:t>Using financial data pulled directly from SEC EDGAR (FY2019–FY2025) and a five-year discounted cash flow (DCF) model, I estimate Apple's intrinsic value at approximately $146.70 per share in the base case — roughly 41% below its recent trading price of $249.75. A comparable-company analysis against Microsoft and Google, however, implies a value of $231–$312 per share, roughly in line with or above the current market price. The two methods point in different directions, and I believe the gap is more informative than either number alone; the reasoning is laid out below.</w:t>
      </w:r>
    </w:p>
    <w:p w14:paraId="62CBB501" w14:textId="77777777" w:rsidR="00006705" w:rsidRDefault="00000000">
      <w:pPr>
        <w:pStyle w:val="Heading2"/>
        <w:spacing w:before="280" w:after="120"/>
      </w:pPr>
      <w:r>
        <w:rPr>
          <w:rFonts w:ascii="Calibri" w:eastAsia="Calibri" w:hAnsi="Calibri" w:cs="Calibri"/>
          <w:b/>
          <w:bCs/>
          <w:color w:val="1F1F1F"/>
          <w:sz w:val="24"/>
          <w:szCs w:val="24"/>
        </w:rPr>
        <w:t>Valuation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50"/>
        <w:gridCol w:w="2500"/>
        <w:gridCol w:w="2500"/>
      </w:tblGrid>
      <w:tr w:rsidR="00006705" w14:paraId="5318CFDD" w14:textId="77777777">
        <w:tblPrEx>
          <w:tblCellMar>
            <w:top w:w="0" w:type="dxa"/>
            <w:bottom w:w="0" w:type="dxa"/>
          </w:tblCellMar>
        </w:tblPrEx>
        <w:tc>
          <w:tcPr>
            <w:tcW w:w="4350" w:type="dxa"/>
            <w:shd w:val="clear" w:color="auto" w:fill="D9D9D9"/>
            <w:tcMar>
              <w:top w:w="80" w:type="dxa"/>
              <w:left w:w="120" w:type="dxa"/>
              <w:bottom w:w="80" w:type="dxa"/>
              <w:right w:w="120" w:type="dxa"/>
            </w:tcMar>
          </w:tcPr>
          <w:p w14:paraId="3BEBD835" w14:textId="77777777" w:rsidR="00006705" w:rsidRDefault="00000000">
            <w:r>
              <w:rPr>
                <w:rFonts w:ascii="Calibri" w:eastAsia="Calibri" w:hAnsi="Calibri" w:cs="Calibri"/>
                <w:b/>
                <w:bCs/>
              </w:rPr>
              <w:t>Method</w:t>
            </w:r>
          </w:p>
        </w:tc>
        <w:tc>
          <w:tcPr>
            <w:tcW w:w="2500" w:type="dxa"/>
            <w:shd w:val="clear" w:color="auto" w:fill="D9D9D9"/>
            <w:tcMar>
              <w:top w:w="80" w:type="dxa"/>
              <w:left w:w="120" w:type="dxa"/>
              <w:bottom w:w="80" w:type="dxa"/>
              <w:right w:w="120" w:type="dxa"/>
            </w:tcMar>
          </w:tcPr>
          <w:p w14:paraId="61D231DC" w14:textId="77777777" w:rsidR="00006705" w:rsidRDefault="00000000">
            <w:pPr>
              <w:jc w:val="center"/>
            </w:pPr>
            <w:r>
              <w:rPr>
                <w:rFonts w:ascii="Calibri" w:eastAsia="Calibri" w:hAnsi="Calibri" w:cs="Calibri"/>
                <w:b/>
                <w:bCs/>
              </w:rPr>
              <w:t>Implied Value / Share</w:t>
            </w:r>
          </w:p>
        </w:tc>
        <w:tc>
          <w:tcPr>
            <w:tcW w:w="2500" w:type="dxa"/>
            <w:shd w:val="clear" w:color="auto" w:fill="D9D9D9"/>
            <w:tcMar>
              <w:top w:w="80" w:type="dxa"/>
              <w:left w:w="120" w:type="dxa"/>
              <w:bottom w:w="80" w:type="dxa"/>
              <w:right w:w="120" w:type="dxa"/>
            </w:tcMar>
          </w:tcPr>
          <w:p w14:paraId="57CF9F22" w14:textId="77777777" w:rsidR="00006705" w:rsidRDefault="00000000">
            <w:pPr>
              <w:jc w:val="center"/>
            </w:pPr>
            <w:r>
              <w:rPr>
                <w:rFonts w:ascii="Calibri" w:eastAsia="Calibri" w:hAnsi="Calibri" w:cs="Calibri"/>
                <w:b/>
                <w:bCs/>
              </w:rPr>
              <w:t>vs. Market Price</w:t>
            </w:r>
          </w:p>
        </w:tc>
      </w:tr>
      <w:tr w:rsidR="00006705" w14:paraId="76B551EF" w14:textId="77777777">
        <w:tblPrEx>
          <w:tblCellMar>
            <w:top w:w="0" w:type="dxa"/>
            <w:bottom w:w="0" w:type="dxa"/>
          </w:tblCellMar>
        </w:tblPrEx>
        <w:tc>
          <w:tcPr>
            <w:tcW w:w="4350" w:type="dxa"/>
            <w:tcMar>
              <w:top w:w="80" w:type="dxa"/>
              <w:left w:w="120" w:type="dxa"/>
              <w:bottom w:w="80" w:type="dxa"/>
              <w:right w:w="120" w:type="dxa"/>
            </w:tcMar>
          </w:tcPr>
          <w:p w14:paraId="79EB3C6E" w14:textId="77777777" w:rsidR="00006705" w:rsidRDefault="00000000">
            <w:r>
              <w:rPr>
                <w:rFonts w:ascii="Calibri" w:eastAsia="Calibri" w:hAnsi="Calibri" w:cs="Calibri"/>
              </w:rPr>
              <w:t>DCF — base case (9% WACC, 2.5% terminal growth)</w:t>
            </w:r>
          </w:p>
        </w:tc>
        <w:tc>
          <w:tcPr>
            <w:tcW w:w="2500" w:type="dxa"/>
            <w:tcMar>
              <w:top w:w="80" w:type="dxa"/>
              <w:left w:w="120" w:type="dxa"/>
              <w:bottom w:w="80" w:type="dxa"/>
              <w:right w:w="120" w:type="dxa"/>
            </w:tcMar>
          </w:tcPr>
          <w:p w14:paraId="507A3E6C" w14:textId="77777777" w:rsidR="00006705" w:rsidRDefault="00000000">
            <w:pPr>
              <w:jc w:val="center"/>
            </w:pPr>
            <w:r>
              <w:rPr>
                <w:rFonts w:ascii="Calibri" w:eastAsia="Calibri" w:hAnsi="Calibri" w:cs="Calibri"/>
              </w:rPr>
              <w:t>$146.70</w:t>
            </w:r>
          </w:p>
        </w:tc>
        <w:tc>
          <w:tcPr>
            <w:tcW w:w="2500" w:type="dxa"/>
            <w:tcMar>
              <w:top w:w="80" w:type="dxa"/>
              <w:left w:w="120" w:type="dxa"/>
              <w:bottom w:w="80" w:type="dxa"/>
              <w:right w:w="120" w:type="dxa"/>
            </w:tcMar>
          </w:tcPr>
          <w:p w14:paraId="7CB995D0" w14:textId="77777777" w:rsidR="00006705" w:rsidRDefault="00000000">
            <w:pPr>
              <w:jc w:val="center"/>
            </w:pPr>
            <w:r>
              <w:rPr>
                <w:rFonts w:ascii="Calibri" w:eastAsia="Calibri" w:hAnsi="Calibri" w:cs="Calibri"/>
              </w:rPr>
              <w:t>−41%</w:t>
            </w:r>
          </w:p>
        </w:tc>
      </w:tr>
      <w:tr w:rsidR="00006705" w14:paraId="0E5B4D11" w14:textId="77777777">
        <w:tblPrEx>
          <w:tblCellMar>
            <w:top w:w="0" w:type="dxa"/>
            <w:bottom w:w="0" w:type="dxa"/>
          </w:tblCellMar>
        </w:tblPrEx>
        <w:tc>
          <w:tcPr>
            <w:tcW w:w="4350" w:type="dxa"/>
            <w:tcMar>
              <w:top w:w="80" w:type="dxa"/>
              <w:left w:w="120" w:type="dxa"/>
              <w:bottom w:w="80" w:type="dxa"/>
              <w:right w:w="120" w:type="dxa"/>
            </w:tcMar>
          </w:tcPr>
          <w:p w14:paraId="251523F4" w14:textId="77777777" w:rsidR="00006705" w:rsidRDefault="00000000">
            <w:r>
              <w:rPr>
                <w:rFonts w:ascii="Calibri" w:eastAsia="Calibri" w:hAnsi="Calibri" w:cs="Calibri"/>
              </w:rPr>
              <w:t>DCF — sensitivity range (7–11% WACC, 1.5–3.5% growth)</w:t>
            </w:r>
          </w:p>
        </w:tc>
        <w:tc>
          <w:tcPr>
            <w:tcW w:w="2500" w:type="dxa"/>
            <w:tcMar>
              <w:top w:w="80" w:type="dxa"/>
              <w:left w:w="120" w:type="dxa"/>
              <w:bottom w:w="80" w:type="dxa"/>
              <w:right w:w="120" w:type="dxa"/>
            </w:tcMar>
          </w:tcPr>
          <w:p w14:paraId="3711114C" w14:textId="77777777" w:rsidR="00006705" w:rsidRDefault="00000000">
            <w:pPr>
              <w:jc w:val="center"/>
            </w:pPr>
            <w:r>
              <w:rPr>
                <w:rFonts w:ascii="Calibri" w:eastAsia="Calibri" w:hAnsi="Calibri" w:cs="Calibri"/>
              </w:rPr>
              <w:t>$101.24 – $269.28</w:t>
            </w:r>
          </w:p>
        </w:tc>
        <w:tc>
          <w:tcPr>
            <w:tcW w:w="2500" w:type="dxa"/>
            <w:tcMar>
              <w:top w:w="80" w:type="dxa"/>
              <w:left w:w="120" w:type="dxa"/>
              <w:bottom w:w="80" w:type="dxa"/>
              <w:right w:w="120" w:type="dxa"/>
            </w:tcMar>
          </w:tcPr>
          <w:p w14:paraId="24D1594B" w14:textId="77777777" w:rsidR="00006705" w:rsidRDefault="00000000">
            <w:pPr>
              <w:jc w:val="center"/>
            </w:pPr>
            <w:r>
              <w:rPr>
                <w:rFonts w:ascii="Calibri" w:eastAsia="Calibri" w:hAnsi="Calibri" w:cs="Calibri"/>
              </w:rPr>
              <w:t>−59% to +8%</w:t>
            </w:r>
          </w:p>
        </w:tc>
      </w:tr>
      <w:tr w:rsidR="00006705" w14:paraId="07181BE6" w14:textId="77777777">
        <w:tblPrEx>
          <w:tblCellMar>
            <w:top w:w="0" w:type="dxa"/>
            <w:bottom w:w="0" w:type="dxa"/>
          </w:tblCellMar>
        </w:tblPrEx>
        <w:tc>
          <w:tcPr>
            <w:tcW w:w="4350" w:type="dxa"/>
            <w:tcMar>
              <w:top w:w="80" w:type="dxa"/>
              <w:left w:w="120" w:type="dxa"/>
              <w:bottom w:w="80" w:type="dxa"/>
              <w:right w:w="120" w:type="dxa"/>
            </w:tcMar>
          </w:tcPr>
          <w:p w14:paraId="5FA84F34" w14:textId="77777777" w:rsidR="00006705" w:rsidRDefault="00000000">
            <w:r>
              <w:rPr>
                <w:rFonts w:ascii="Calibri" w:eastAsia="Calibri" w:hAnsi="Calibri" w:cs="Calibri"/>
              </w:rPr>
              <w:t>Comps — EV / Revenue (median of MSFT, GOOGL)</w:t>
            </w:r>
          </w:p>
        </w:tc>
        <w:tc>
          <w:tcPr>
            <w:tcW w:w="2500" w:type="dxa"/>
            <w:tcMar>
              <w:top w:w="80" w:type="dxa"/>
              <w:left w:w="120" w:type="dxa"/>
              <w:bottom w:w="80" w:type="dxa"/>
              <w:right w:w="120" w:type="dxa"/>
            </w:tcMar>
          </w:tcPr>
          <w:p w14:paraId="56F36969" w14:textId="77777777" w:rsidR="00006705" w:rsidRDefault="00000000">
            <w:pPr>
              <w:jc w:val="center"/>
            </w:pPr>
            <w:r>
              <w:rPr>
                <w:rFonts w:ascii="Calibri" w:eastAsia="Calibri" w:hAnsi="Calibri" w:cs="Calibri"/>
              </w:rPr>
              <w:t>$311.50</w:t>
            </w:r>
          </w:p>
        </w:tc>
        <w:tc>
          <w:tcPr>
            <w:tcW w:w="2500" w:type="dxa"/>
            <w:tcMar>
              <w:top w:w="80" w:type="dxa"/>
              <w:left w:w="120" w:type="dxa"/>
              <w:bottom w:w="80" w:type="dxa"/>
              <w:right w:w="120" w:type="dxa"/>
            </w:tcMar>
          </w:tcPr>
          <w:p w14:paraId="531FD415" w14:textId="77777777" w:rsidR="00006705" w:rsidRDefault="00000000">
            <w:pPr>
              <w:jc w:val="center"/>
            </w:pPr>
            <w:r>
              <w:rPr>
                <w:rFonts w:ascii="Calibri" w:eastAsia="Calibri" w:hAnsi="Calibri" w:cs="Calibri"/>
              </w:rPr>
              <w:t>+25%</w:t>
            </w:r>
          </w:p>
        </w:tc>
      </w:tr>
      <w:tr w:rsidR="00006705" w14:paraId="7026ADF5" w14:textId="77777777">
        <w:tblPrEx>
          <w:tblCellMar>
            <w:top w:w="0" w:type="dxa"/>
            <w:bottom w:w="0" w:type="dxa"/>
          </w:tblCellMar>
        </w:tblPrEx>
        <w:tc>
          <w:tcPr>
            <w:tcW w:w="4350" w:type="dxa"/>
            <w:tcMar>
              <w:top w:w="80" w:type="dxa"/>
              <w:left w:w="120" w:type="dxa"/>
              <w:bottom w:w="80" w:type="dxa"/>
              <w:right w:w="120" w:type="dxa"/>
            </w:tcMar>
          </w:tcPr>
          <w:p w14:paraId="42F2FA1B" w14:textId="77777777" w:rsidR="00006705" w:rsidRDefault="00000000">
            <w:r>
              <w:rPr>
                <w:rFonts w:ascii="Calibri" w:eastAsia="Calibri" w:hAnsi="Calibri" w:cs="Calibri"/>
              </w:rPr>
              <w:t>Comps — EV / EBITDA (median of MSFT, GOOGL)</w:t>
            </w:r>
          </w:p>
        </w:tc>
        <w:tc>
          <w:tcPr>
            <w:tcW w:w="2500" w:type="dxa"/>
            <w:tcMar>
              <w:top w:w="80" w:type="dxa"/>
              <w:left w:w="120" w:type="dxa"/>
              <w:bottom w:w="80" w:type="dxa"/>
              <w:right w:w="120" w:type="dxa"/>
            </w:tcMar>
          </w:tcPr>
          <w:p w14:paraId="7E71B672" w14:textId="77777777" w:rsidR="00006705" w:rsidRDefault="00000000">
            <w:pPr>
              <w:jc w:val="center"/>
            </w:pPr>
            <w:r>
              <w:rPr>
                <w:rFonts w:ascii="Calibri" w:eastAsia="Calibri" w:hAnsi="Calibri" w:cs="Calibri"/>
              </w:rPr>
              <w:t>$231.30</w:t>
            </w:r>
          </w:p>
        </w:tc>
        <w:tc>
          <w:tcPr>
            <w:tcW w:w="2500" w:type="dxa"/>
            <w:tcMar>
              <w:top w:w="80" w:type="dxa"/>
              <w:left w:w="120" w:type="dxa"/>
              <w:bottom w:w="80" w:type="dxa"/>
              <w:right w:w="120" w:type="dxa"/>
            </w:tcMar>
          </w:tcPr>
          <w:p w14:paraId="6B712F0B" w14:textId="77777777" w:rsidR="00006705" w:rsidRDefault="00000000">
            <w:pPr>
              <w:jc w:val="center"/>
            </w:pPr>
            <w:r>
              <w:rPr>
                <w:rFonts w:ascii="Calibri" w:eastAsia="Calibri" w:hAnsi="Calibri" w:cs="Calibri"/>
              </w:rPr>
              <w:t>−7%</w:t>
            </w:r>
          </w:p>
        </w:tc>
      </w:tr>
      <w:tr w:rsidR="00006705" w14:paraId="5BA98F14" w14:textId="77777777">
        <w:tblPrEx>
          <w:tblCellMar>
            <w:top w:w="0" w:type="dxa"/>
            <w:bottom w:w="0" w:type="dxa"/>
          </w:tblCellMar>
        </w:tblPrEx>
        <w:tc>
          <w:tcPr>
            <w:tcW w:w="4350" w:type="dxa"/>
            <w:tcMar>
              <w:top w:w="80" w:type="dxa"/>
              <w:left w:w="120" w:type="dxa"/>
              <w:bottom w:w="80" w:type="dxa"/>
              <w:right w:w="120" w:type="dxa"/>
            </w:tcMar>
          </w:tcPr>
          <w:p w14:paraId="16EC7EAD" w14:textId="77777777" w:rsidR="00006705" w:rsidRDefault="00000000">
            <w:r>
              <w:rPr>
                <w:rFonts w:ascii="Calibri" w:eastAsia="Calibri" w:hAnsi="Calibri" w:cs="Calibri"/>
              </w:rPr>
              <w:t>Comps — P/E (median of MSFT, GOOGL)</w:t>
            </w:r>
          </w:p>
        </w:tc>
        <w:tc>
          <w:tcPr>
            <w:tcW w:w="2500" w:type="dxa"/>
            <w:tcMar>
              <w:top w:w="80" w:type="dxa"/>
              <w:left w:w="120" w:type="dxa"/>
              <w:bottom w:w="80" w:type="dxa"/>
              <w:right w:w="120" w:type="dxa"/>
            </w:tcMar>
          </w:tcPr>
          <w:p w14:paraId="09C47144" w14:textId="77777777" w:rsidR="00006705" w:rsidRDefault="00000000">
            <w:pPr>
              <w:jc w:val="center"/>
            </w:pPr>
            <w:r>
              <w:rPr>
                <w:rFonts w:ascii="Calibri" w:eastAsia="Calibri" w:hAnsi="Calibri" w:cs="Calibri"/>
              </w:rPr>
              <w:t>$247.47</w:t>
            </w:r>
          </w:p>
        </w:tc>
        <w:tc>
          <w:tcPr>
            <w:tcW w:w="2500" w:type="dxa"/>
            <w:tcMar>
              <w:top w:w="80" w:type="dxa"/>
              <w:left w:w="120" w:type="dxa"/>
              <w:bottom w:w="80" w:type="dxa"/>
              <w:right w:w="120" w:type="dxa"/>
            </w:tcMar>
          </w:tcPr>
          <w:p w14:paraId="5039FCF1" w14:textId="77777777" w:rsidR="00006705" w:rsidRDefault="00000000">
            <w:pPr>
              <w:jc w:val="center"/>
            </w:pPr>
            <w:r>
              <w:rPr>
                <w:rFonts w:ascii="Calibri" w:eastAsia="Calibri" w:hAnsi="Calibri" w:cs="Calibri"/>
              </w:rPr>
              <w:t>−1%</w:t>
            </w:r>
          </w:p>
        </w:tc>
      </w:tr>
      <w:tr w:rsidR="00006705" w14:paraId="32190CE7" w14:textId="77777777">
        <w:tblPrEx>
          <w:tblCellMar>
            <w:top w:w="0" w:type="dxa"/>
            <w:bottom w:w="0" w:type="dxa"/>
          </w:tblCellMar>
        </w:tblPrEx>
        <w:tc>
          <w:tcPr>
            <w:tcW w:w="4350" w:type="dxa"/>
            <w:shd w:val="clear" w:color="auto" w:fill="F2F2F2"/>
            <w:tcMar>
              <w:top w:w="80" w:type="dxa"/>
              <w:left w:w="120" w:type="dxa"/>
              <w:bottom w:w="80" w:type="dxa"/>
              <w:right w:w="120" w:type="dxa"/>
            </w:tcMar>
          </w:tcPr>
          <w:p w14:paraId="12E2D0D4" w14:textId="77777777" w:rsidR="00006705" w:rsidRDefault="00000000">
            <w:r>
              <w:rPr>
                <w:rFonts w:ascii="Calibri" w:eastAsia="Calibri" w:hAnsi="Calibri" w:cs="Calibri"/>
                <w:b/>
                <w:bCs/>
              </w:rPr>
              <w:t>Market price (reference, Aug 2026)</w:t>
            </w:r>
          </w:p>
        </w:tc>
        <w:tc>
          <w:tcPr>
            <w:tcW w:w="2500" w:type="dxa"/>
            <w:shd w:val="clear" w:color="auto" w:fill="F2F2F2"/>
            <w:tcMar>
              <w:top w:w="80" w:type="dxa"/>
              <w:left w:w="120" w:type="dxa"/>
              <w:bottom w:w="80" w:type="dxa"/>
              <w:right w:w="120" w:type="dxa"/>
            </w:tcMar>
          </w:tcPr>
          <w:p w14:paraId="22721156" w14:textId="77777777" w:rsidR="00006705" w:rsidRDefault="00000000">
            <w:pPr>
              <w:jc w:val="center"/>
            </w:pPr>
            <w:r>
              <w:rPr>
                <w:rFonts w:ascii="Calibri" w:eastAsia="Calibri" w:hAnsi="Calibri" w:cs="Calibri"/>
                <w:b/>
                <w:bCs/>
              </w:rPr>
              <w:t>$249.75</w:t>
            </w:r>
          </w:p>
        </w:tc>
        <w:tc>
          <w:tcPr>
            <w:tcW w:w="2500" w:type="dxa"/>
            <w:shd w:val="clear" w:color="auto" w:fill="F2F2F2"/>
            <w:tcMar>
              <w:top w:w="80" w:type="dxa"/>
              <w:left w:w="120" w:type="dxa"/>
              <w:bottom w:w="80" w:type="dxa"/>
              <w:right w:w="120" w:type="dxa"/>
            </w:tcMar>
          </w:tcPr>
          <w:p w14:paraId="0D0FCC30" w14:textId="77777777" w:rsidR="00006705" w:rsidRDefault="00000000">
            <w:pPr>
              <w:jc w:val="center"/>
            </w:pPr>
            <w:r>
              <w:rPr>
                <w:rFonts w:ascii="Calibri" w:eastAsia="Calibri" w:hAnsi="Calibri" w:cs="Calibri"/>
                <w:b/>
                <w:bCs/>
              </w:rPr>
              <w:t>—</w:t>
            </w:r>
          </w:p>
        </w:tc>
      </w:tr>
    </w:tbl>
    <w:p w14:paraId="0610CDFE" w14:textId="77777777" w:rsidR="00006705" w:rsidRDefault="00006705">
      <w:pPr>
        <w:spacing w:after="160" w:line="276" w:lineRule="auto"/>
      </w:pPr>
    </w:p>
    <w:p w14:paraId="4DBB351B" w14:textId="77777777" w:rsidR="00006705" w:rsidRDefault="00000000">
      <w:pPr>
        <w:pStyle w:val="Heading2"/>
        <w:spacing w:before="280" w:after="120"/>
      </w:pPr>
      <w:r>
        <w:rPr>
          <w:rFonts w:ascii="Calibri" w:eastAsia="Calibri" w:hAnsi="Calibri" w:cs="Calibri"/>
          <w:b/>
          <w:bCs/>
          <w:color w:val="1F1F1F"/>
          <w:sz w:val="24"/>
          <w:szCs w:val="24"/>
        </w:rPr>
        <w:t>DCF Assumptions</w:t>
      </w:r>
    </w:p>
    <w:p w14:paraId="21F1309E" w14:textId="77777777" w:rsidR="00006705" w:rsidRDefault="00000000">
      <w:pPr>
        <w:pStyle w:val="ListParagraph"/>
        <w:numPr>
          <w:ilvl w:val="0"/>
          <w:numId w:val="1"/>
        </w:numPr>
        <w:spacing w:after="80" w:line="276" w:lineRule="auto"/>
      </w:pPr>
      <w:r>
        <w:rPr>
          <w:rFonts w:ascii="Calibri" w:eastAsia="Calibri" w:hAnsi="Calibri" w:cs="Calibri"/>
          <w:sz w:val="21"/>
          <w:szCs w:val="21"/>
        </w:rPr>
        <w:t xml:space="preserve">Base year: FY2025 free cash flow of $112.0B, calculated as Operating Income × (1 − 15% effective tax rate) + D&amp;A − </w:t>
      </w:r>
      <w:proofErr w:type="spellStart"/>
      <w:r>
        <w:rPr>
          <w:rFonts w:ascii="Calibri" w:eastAsia="Calibri" w:hAnsi="Calibri" w:cs="Calibri"/>
          <w:sz w:val="21"/>
          <w:szCs w:val="21"/>
        </w:rPr>
        <w:t>CapEx</w:t>
      </w:r>
      <w:proofErr w:type="spellEnd"/>
      <w:r>
        <w:rPr>
          <w:rFonts w:ascii="Calibri" w:eastAsia="Calibri" w:hAnsi="Calibri" w:cs="Calibri"/>
          <w:sz w:val="21"/>
          <w:szCs w:val="21"/>
        </w:rPr>
        <w:t>.</w:t>
      </w:r>
    </w:p>
    <w:p w14:paraId="3CE2CEC7" w14:textId="77777777" w:rsidR="00006705" w:rsidRDefault="00000000">
      <w:pPr>
        <w:pStyle w:val="ListParagraph"/>
        <w:numPr>
          <w:ilvl w:val="0"/>
          <w:numId w:val="1"/>
        </w:numPr>
        <w:spacing w:after="80" w:line="276" w:lineRule="auto"/>
      </w:pPr>
      <w:r>
        <w:rPr>
          <w:rFonts w:ascii="Calibri" w:eastAsia="Calibri" w:hAnsi="Calibri" w:cs="Calibri"/>
          <w:sz w:val="21"/>
          <w:szCs w:val="21"/>
        </w:rPr>
        <w:t>Growth rate: tapered from 12% (2026) down to 5% (2030) rather than holding the trailing 6-year historical CAGR of 12.1% flat, since a company already generating over $400B in revenue is unlikely to sustain that pace for five more years.</w:t>
      </w:r>
    </w:p>
    <w:p w14:paraId="642376AB" w14:textId="77777777" w:rsidR="00006705" w:rsidRDefault="00000000">
      <w:pPr>
        <w:pStyle w:val="ListParagraph"/>
        <w:numPr>
          <w:ilvl w:val="0"/>
          <w:numId w:val="1"/>
        </w:numPr>
        <w:spacing w:after="80" w:line="276" w:lineRule="auto"/>
      </w:pPr>
      <w:r>
        <w:rPr>
          <w:rFonts w:ascii="Calibri" w:eastAsia="Calibri" w:hAnsi="Calibri" w:cs="Calibri"/>
          <w:sz w:val="21"/>
          <w:szCs w:val="21"/>
        </w:rPr>
        <w:t>WACC: 9%, a reasonable placeholder for a stable, investment-grade large-cap; not derived bottom-up from Apple's actual cost of debt and equity, and the single largest driver of the valuation range.</w:t>
      </w:r>
    </w:p>
    <w:p w14:paraId="3F8C57D0" w14:textId="77777777" w:rsidR="00006705" w:rsidRDefault="00000000">
      <w:pPr>
        <w:pStyle w:val="ListParagraph"/>
        <w:numPr>
          <w:ilvl w:val="0"/>
          <w:numId w:val="1"/>
        </w:numPr>
        <w:spacing w:after="80" w:line="276" w:lineRule="auto"/>
      </w:pPr>
      <w:r>
        <w:rPr>
          <w:rFonts w:ascii="Calibri" w:eastAsia="Calibri" w:hAnsi="Calibri" w:cs="Calibri"/>
          <w:sz w:val="21"/>
          <w:szCs w:val="21"/>
        </w:rPr>
        <w:t>Terminal growth: 2.5%, in line with long-run nominal GDP growth.</w:t>
      </w:r>
    </w:p>
    <w:p w14:paraId="06118A4D" w14:textId="77777777" w:rsidR="00006705" w:rsidRDefault="00000000">
      <w:pPr>
        <w:pStyle w:val="ListParagraph"/>
        <w:numPr>
          <w:ilvl w:val="0"/>
          <w:numId w:val="1"/>
        </w:numPr>
        <w:spacing w:after="80" w:line="276" w:lineRule="auto"/>
      </w:pPr>
      <w:r>
        <w:rPr>
          <w:rFonts w:ascii="Calibri" w:eastAsia="Calibri" w:hAnsi="Calibri" w:cs="Calibri"/>
          <w:sz w:val="21"/>
          <w:szCs w:val="21"/>
        </w:rPr>
        <w:t>Net debt: $76.4B (FY2025 total debt of $112.4B less cash of $35.9B); shares outstanding of 15.0B (diluted).</w:t>
      </w:r>
    </w:p>
    <w:p w14:paraId="69F3673D" w14:textId="77777777" w:rsidR="00006705" w:rsidRDefault="00000000">
      <w:pPr>
        <w:spacing w:after="160" w:line="276" w:lineRule="auto"/>
      </w:pPr>
      <w:r>
        <w:rPr>
          <w:rFonts w:ascii="Calibri" w:eastAsia="Calibri" w:hAnsi="Calibri" w:cs="Calibri"/>
          <w:sz w:val="21"/>
          <w:szCs w:val="21"/>
        </w:rPr>
        <w:t>Roughly 75% of the DCF's enterprise value comes from the terminal value rather than the five explicit forecast years, which is typical for a DCF but means the valuation is highly sensitive to the WACC and terminal growth assumptions. The sensitivity table above shows that at the more optimistic end of a still-defensible assumption range (7% WACC, 3.5% terminal growth), intrinsic value rises to $269 — above the current market price.</w:t>
      </w:r>
    </w:p>
    <w:p w14:paraId="39CC8300" w14:textId="77777777" w:rsidR="00006705" w:rsidRDefault="00000000">
      <w:pPr>
        <w:pStyle w:val="Heading2"/>
        <w:spacing w:before="280" w:after="120"/>
      </w:pPr>
      <w:r>
        <w:rPr>
          <w:rFonts w:ascii="Calibri" w:eastAsia="Calibri" w:hAnsi="Calibri" w:cs="Calibri"/>
          <w:b/>
          <w:bCs/>
          <w:color w:val="1F1F1F"/>
          <w:sz w:val="24"/>
          <w:szCs w:val="24"/>
        </w:rPr>
        <w:lastRenderedPageBreak/>
        <w:t>Comps Results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50"/>
        <w:gridCol w:w="1950"/>
        <w:gridCol w:w="1950"/>
      </w:tblGrid>
      <w:tr w:rsidR="00006705" w14:paraId="7D54BA68" w14:textId="77777777">
        <w:tblPrEx>
          <w:tblCellMar>
            <w:top w:w="0" w:type="dxa"/>
            <w:bottom w:w="0" w:type="dxa"/>
          </w:tblCellMar>
        </w:tblPrEx>
        <w:tc>
          <w:tcPr>
            <w:tcW w:w="3500" w:type="dxa"/>
            <w:shd w:val="clear" w:color="auto" w:fill="D9D9D9"/>
            <w:tcMar>
              <w:top w:w="80" w:type="dxa"/>
              <w:left w:w="120" w:type="dxa"/>
              <w:bottom w:w="80" w:type="dxa"/>
              <w:right w:w="120" w:type="dxa"/>
            </w:tcMar>
          </w:tcPr>
          <w:p w14:paraId="75CA69CB" w14:textId="77777777" w:rsidR="00006705" w:rsidRDefault="00000000">
            <w:r>
              <w:rPr>
                <w:rFonts w:ascii="Calibri" w:eastAsia="Calibri" w:hAnsi="Calibri" w:cs="Calibri"/>
                <w:b/>
                <w:bCs/>
              </w:rPr>
              <w:t>Metric (FY2025)</w:t>
            </w:r>
          </w:p>
        </w:tc>
        <w:tc>
          <w:tcPr>
            <w:tcW w:w="1950" w:type="dxa"/>
            <w:shd w:val="clear" w:color="auto" w:fill="D9D9D9"/>
            <w:tcMar>
              <w:top w:w="80" w:type="dxa"/>
              <w:left w:w="120" w:type="dxa"/>
              <w:bottom w:w="80" w:type="dxa"/>
              <w:right w:w="120" w:type="dxa"/>
            </w:tcMar>
          </w:tcPr>
          <w:p w14:paraId="714985EE" w14:textId="77777777" w:rsidR="00006705" w:rsidRDefault="00000000">
            <w:pPr>
              <w:jc w:val="center"/>
            </w:pPr>
            <w:r>
              <w:rPr>
                <w:rFonts w:ascii="Calibri" w:eastAsia="Calibri" w:hAnsi="Calibri" w:cs="Calibri"/>
                <w:b/>
                <w:bCs/>
              </w:rPr>
              <w:t>AAPL</w:t>
            </w:r>
          </w:p>
        </w:tc>
        <w:tc>
          <w:tcPr>
            <w:tcW w:w="1950" w:type="dxa"/>
            <w:shd w:val="clear" w:color="auto" w:fill="D9D9D9"/>
            <w:tcMar>
              <w:top w:w="80" w:type="dxa"/>
              <w:left w:w="120" w:type="dxa"/>
              <w:bottom w:w="80" w:type="dxa"/>
              <w:right w:w="120" w:type="dxa"/>
            </w:tcMar>
          </w:tcPr>
          <w:p w14:paraId="2CA3FEF6" w14:textId="77777777" w:rsidR="00006705" w:rsidRDefault="00000000">
            <w:pPr>
              <w:jc w:val="center"/>
            </w:pPr>
            <w:r>
              <w:rPr>
                <w:rFonts w:ascii="Calibri" w:eastAsia="Calibri" w:hAnsi="Calibri" w:cs="Calibri"/>
                <w:b/>
                <w:bCs/>
              </w:rPr>
              <w:t>MSFT</w:t>
            </w:r>
          </w:p>
        </w:tc>
        <w:tc>
          <w:tcPr>
            <w:tcW w:w="1950" w:type="dxa"/>
            <w:shd w:val="clear" w:color="auto" w:fill="D9D9D9"/>
            <w:tcMar>
              <w:top w:w="80" w:type="dxa"/>
              <w:left w:w="120" w:type="dxa"/>
              <w:bottom w:w="80" w:type="dxa"/>
              <w:right w:w="120" w:type="dxa"/>
            </w:tcMar>
          </w:tcPr>
          <w:p w14:paraId="2A78F4D1" w14:textId="77777777" w:rsidR="00006705" w:rsidRDefault="00000000">
            <w:pPr>
              <w:jc w:val="center"/>
            </w:pPr>
            <w:r>
              <w:rPr>
                <w:rFonts w:ascii="Calibri" w:eastAsia="Calibri" w:hAnsi="Calibri" w:cs="Calibri"/>
                <w:b/>
                <w:bCs/>
              </w:rPr>
              <w:t>GOOGL</w:t>
            </w:r>
          </w:p>
        </w:tc>
      </w:tr>
      <w:tr w:rsidR="00006705" w14:paraId="12201154" w14:textId="77777777">
        <w:tblPrEx>
          <w:tblCellMar>
            <w:top w:w="0" w:type="dxa"/>
            <w:bottom w:w="0" w:type="dxa"/>
          </w:tblCellMar>
        </w:tblPrEx>
        <w:tc>
          <w:tcPr>
            <w:tcW w:w="3500" w:type="dxa"/>
            <w:tcMar>
              <w:top w:w="80" w:type="dxa"/>
              <w:left w:w="120" w:type="dxa"/>
              <w:bottom w:w="80" w:type="dxa"/>
              <w:right w:w="120" w:type="dxa"/>
            </w:tcMar>
          </w:tcPr>
          <w:p w14:paraId="368028BC" w14:textId="77777777" w:rsidR="00006705" w:rsidRDefault="00000000">
            <w:r>
              <w:rPr>
                <w:rFonts w:ascii="Calibri" w:eastAsia="Calibri" w:hAnsi="Calibri" w:cs="Calibri"/>
              </w:rPr>
              <w:t>Revenue</w:t>
            </w:r>
          </w:p>
        </w:tc>
        <w:tc>
          <w:tcPr>
            <w:tcW w:w="1950" w:type="dxa"/>
            <w:tcMar>
              <w:top w:w="80" w:type="dxa"/>
              <w:left w:w="120" w:type="dxa"/>
              <w:bottom w:w="80" w:type="dxa"/>
              <w:right w:w="120" w:type="dxa"/>
            </w:tcMar>
          </w:tcPr>
          <w:p w14:paraId="6DA77EFF" w14:textId="77777777" w:rsidR="00006705" w:rsidRDefault="00000000">
            <w:pPr>
              <w:jc w:val="center"/>
            </w:pPr>
            <w:r>
              <w:rPr>
                <w:rFonts w:ascii="Calibri" w:eastAsia="Calibri" w:hAnsi="Calibri" w:cs="Calibri"/>
              </w:rPr>
              <w:t>$416.2B</w:t>
            </w:r>
          </w:p>
        </w:tc>
        <w:tc>
          <w:tcPr>
            <w:tcW w:w="1950" w:type="dxa"/>
            <w:tcMar>
              <w:top w:w="80" w:type="dxa"/>
              <w:left w:w="120" w:type="dxa"/>
              <w:bottom w:w="80" w:type="dxa"/>
              <w:right w:w="120" w:type="dxa"/>
            </w:tcMar>
          </w:tcPr>
          <w:p w14:paraId="4DC00083" w14:textId="77777777" w:rsidR="00006705" w:rsidRDefault="00000000">
            <w:pPr>
              <w:jc w:val="center"/>
            </w:pPr>
            <w:r>
              <w:rPr>
                <w:rFonts w:ascii="Calibri" w:eastAsia="Calibri" w:hAnsi="Calibri" w:cs="Calibri"/>
              </w:rPr>
              <w:t>$281.7B</w:t>
            </w:r>
          </w:p>
        </w:tc>
        <w:tc>
          <w:tcPr>
            <w:tcW w:w="1950" w:type="dxa"/>
            <w:tcMar>
              <w:top w:w="80" w:type="dxa"/>
              <w:left w:w="120" w:type="dxa"/>
              <w:bottom w:w="80" w:type="dxa"/>
              <w:right w:w="120" w:type="dxa"/>
            </w:tcMar>
          </w:tcPr>
          <w:p w14:paraId="59E06F70" w14:textId="77777777" w:rsidR="00006705" w:rsidRDefault="00000000">
            <w:pPr>
              <w:jc w:val="center"/>
            </w:pPr>
            <w:r>
              <w:rPr>
                <w:rFonts w:ascii="Calibri" w:eastAsia="Calibri" w:hAnsi="Calibri" w:cs="Calibri"/>
              </w:rPr>
              <w:t>$402.8B</w:t>
            </w:r>
          </w:p>
        </w:tc>
      </w:tr>
      <w:tr w:rsidR="00006705" w14:paraId="32365D47" w14:textId="77777777">
        <w:tblPrEx>
          <w:tblCellMar>
            <w:top w:w="0" w:type="dxa"/>
            <w:bottom w:w="0" w:type="dxa"/>
          </w:tblCellMar>
        </w:tblPrEx>
        <w:tc>
          <w:tcPr>
            <w:tcW w:w="3500" w:type="dxa"/>
            <w:tcMar>
              <w:top w:w="80" w:type="dxa"/>
              <w:left w:w="120" w:type="dxa"/>
              <w:bottom w:w="80" w:type="dxa"/>
              <w:right w:w="120" w:type="dxa"/>
            </w:tcMar>
          </w:tcPr>
          <w:p w14:paraId="73457DBB" w14:textId="77777777" w:rsidR="00006705" w:rsidRDefault="00000000">
            <w:r>
              <w:rPr>
                <w:rFonts w:ascii="Calibri" w:eastAsia="Calibri" w:hAnsi="Calibri" w:cs="Calibri"/>
              </w:rPr>
              <w:t>Net Income</w:t>
            </w:r>
          </w:p>
        </w:tc>
        <w:tc>
          <w:tcPr>
            <w:tcW w:w="1950" w:type="dxa"/>
            <w:tcMar>
              <w:top w:w="80" w:type="dxa"/>
              <w:left w:w="120" w:type="dxa"/>
              <w:bottom w:w="80" w:type="dxa"/>
              <w:right w:w="120" w:type="dxa"/>
            </w:tcMar>
          </w:tcPr>
          <w:p w14:paraId="4BF5744E" w14:textId="77777777" w:rsidR="00006705" w:rsidRDefault="00000000">
            <w:pPr>
              <w:jc w:val="center"/>
            </w:pPr>
            <w:r>
              <w:rPr>
                <w:rFonts w:ascii="Calibri" w:eastAsia="Calibri" w:hAnsi="Calibri" w:cs="Calibri"/>
              </w:rPr>
              <w:t>$112.0B</w:t>
            </w:r>
          </w:p>
        </w:tc>
        <w:tc>
          <w:tcPr>
            <w:tcW w:w="1950" w:type="dxa"/>
            <w:tcMar>
              <w:top w:w="80" w:type="dxa"/>
              <w:left w:w="120" w:type="dxa"/>
              <w:bottom w:w="80" w:type="dxa"/>
              <w:right w:w="120" w:type="dxa"/>
            </w:tcMar>
          </w:tcPr>
          <w:p w14:paraId="227BBA77" w14:textId="77777777" w:rsidR="00006705" w:rsidRDefault="00000000">
            <w:pPr>
              <w:jc w:val="center"/>
            </w:pPr>
            <w:r>
              <w:rPr>
                <w:rFonts w:ascii="Calibri" w:eastAsia="Calibri" w:hAnsi="Calibri" w:cs="Calibri"/>
              </w:rPr>
              <w:t>$101.8B</w:t>
            </w:r>
          </w:p>
        </w:tc>
        <w:tc>
          <w:tcPr>
            <w:tcW w:w="1950" w:type="dxa"/>
            <w:tcMar>
              <w:top w:w="80" w:type="dxa"/>
              <w:left w:w="120" w:type="dxa"/>
              <w:bottom w:w="80" w:type="dxa"/>
              <w:right w:w="120" w:type="dxa"/>
            </w:tcMar>
          </w:tcPr>
          <w:p w14:paraId="7FAD30CE" w14:textId="77777777" w:rsidR="00006705" w:rsidRDefault="00000000">
            <w:pPr>
              <w:jc w:val="center"/>
            </w:pPr>
            <w:r>
              <w:rPr>
                <w:rFonts w:ascii="Calibri" w:eastAsia="Calibri" w:hAnsi="Calibri" w:cs="Calibri"/>
              </w:rPr>
              <w:t>$132.2B</w:t>
            </w:r>
          </w:p>
        </w:tc>
      </w:tr>
      <w:tr w:rsidR="00006705" w14:paraId="4100F8DB" w14:textId="77777777">
        <w:tblPrEx>
          <w:tblCellMar>
            <w:top w:w="0" w:type="dxa"/>
            <w:bottom w:w="0" w:type="dxa"/>
          </w:tblCellMar>
        </w:tblPrEx>
        <w:tc>
          <w:tcPr>
            <w:tcW w:w="3500" w:type="dxa"/>
            <w:tcMar>
              <w:top w:w="80" w:type="dxa"/>
              <w:left w:w="120" w:type="dxa"/>
              <w:bottom w:w="80" w:type="dxa"/>
              <w:right w:w="120" w:type="dxa"/>
            </w:tcMar>
          </w:tcPr>
          <w:p w14:paraId="6AA52BCE" w14:textId="77777777" w:rsidR="00006705" w:rsidRDefault="00000000">
            <w:r>
              <w:rPr>
                <w:rFonts w:ascii="Calibri" w:eastAsia="Calibri" w:hAnsi="Calibri" w:cs="Calibri"/>
              </w:rPr>
              <w:t>EV / Revenue</w:t>
            </w:r>
          </w:p>
        </w:tc>
        <w:tc>
          <w:tcPr>
            <w:tcW w:w="1950" w:type="dxa"/>
            <w:tcMar>
              <w:top w:w="80" w:type="dxa"/>
              <w:left w:w="120" w:type="dxa"/>
              <w:bottom w:w="80" w:type="dxa"/>
              <w:right w:w="120" w:type="dxa"/>
            </w:tcMar>
          </w:tcPr>
          <w:p w14:paraId="5D8E74D2" w14:textId="77777777" w:rsidR="00006705" w:rsidRDefault="00000000">
            <w:pPr>
              <w:jc w:val="center"/>
            </w:pPr>
            <w:r>
              <w:rPr>
                <w:rFonts w:ascii="Calibri" w:eastAsia="Calibri" w:hAnsi="Calibri" w:cs="Calibri"/>
              </w:rPr>
              <w:t>9.19x</w:t>
            </w:r>
          </w:p>
        </w:tc>
        <w:tc>
          <w:tcPr>
            <w:tcW w:w="1950" w:type="dxa"/>
            <w:tcMar>
              <w:top w:w="80" w:type="dxa"/>
              <w:left w:w="120" w:type="dxa"/>
              <w:bottom w:w="80" w:type="dxa"/>
              <w:right w:w="120" w:type="dxa"/>
            </w:tcMar>
          </w:tcPr>
          <w:p w14:paraId="3D248736" w14:textId="77777777" w:rsidR="00006705" w:rsidRDefault="00000000">
            <w:pPr>
              <w:jc w:val="center"/>
            </w:pPr>
            <w:r>
              <w:rPr>
                <w:rFonts w:ascii="Calibri" w:eastAsia="Calibri" w:hAnsi="Calibri" w:cs="Calibri"/>
              </w:rPr>
              <w:t>12.86x</w:t>
            </w:r>
          </w:p>
        </w:tc>
        <w:tc>
          <w:tcPr>
            <w:tcW w:w="1950" w:type="dxa"/>
            <w:tcMar>
              <w:top w:w="80" w:type="dxa"/>
              <w:left w:w="120" w:type="dxa"/>
              <w:bottom w:w="80" w:type="dxa"/>
              <w:right w:w="120" w:type="dxa"/>
            </w:tcMar>
          </w:tcPr>
          <w:p w14:paraId="3D64042D" w14:textId="77777777" w:rsidR="00006705" w:rsidRDefault="00000000">
            <w:pPr>
              <w:jc w:val="center"/>
            </w:pPr>
            <w:r>
              <w:rPr>
                <w:rFonts w:ascii="Calibri" w:eastAsia="Calibri" w:hAnsi="Calibri" w:cs="Calibri"/>
              </w:rPr>
              <w:t>9.96x</w:t>
            </w:r>
          </w:p>
        </w:tc>
      </w:tr>
      <w:tr w:rsidR="00006705" w14:paraId="51D80F94" w14:textId="77777777">
        <w:tblPrEx>
          <w:tblCellMar>
            <w:top w:w="0" w:type="dxa"/>
            <w:bottom w:w="0" w:type="dxa"/>
          </w:tblCellMar>
        </w:tblPrEx>
        <w:tc>
          <w:tcPr>
            <w:tcW w:w="3500" w:type="dxa"/>
            <w:tcMar>
              <w:top w:w="80" w:type="dxa"/>
              <w:left w:w="120" w:type="dxa"/>
              <w:bottom w:w="80" w:type="dxa"/>
              <w:right w:w="120" w:type="dxa"/>
            </w:tcMar>
          </w:tcPr>
          <w:p w14:paraId="5D57C079" w14:textId="77777777" w:rsidR="00006705" w:rsidRDefault="00000000">
            <w:r>
              <w:rPr>
                <w:rFonts w:ascii="Calibri" w:eastAsia="Calibri" w:hAnsi="Calibri" w:cs="Calibri"/>
              </w:rPr>
              <w:t>EV / EBITDA</w:t>
            </w:r>
          </w:p>
        </w:tc>
        <w:tc>
          <w:tcPr>
            <w:tcW w:w="1950" w:type="dxa"/>
            <w:tcMar>
              <w:top w:w="80" w:type="dxa"/>
              <w:left w:w="120" w:type="dxa"/>
              <w:bottom w:w="80" w:type="dxa"/>
              <w:right w:w="120" w:type="dxa"/>
            </w:tcMar>
          </w:tcPr>
          <w:p w14:paraId="0A7FD6C6" w14:textId="77777777" w:rsidR="00006705" w:rsidRDefault="00000000">
            <w:pPr>
              <w:jc w:val="center"/>
            </w:pPr>
            <w:r>
              <w:rPr>
                <w:rFonts w:ascii="Calibri" w:eastAsia="Calibri" w:hAnsi="Calibri" w:cs="Calibri"/>
              </w:rPr>
              <w:t>26.41x</w:t>
            </w:r>
          </w:p>
        </w:tc>
        <w:tc>
          <w:tcPr>
            <w:tcW w:w="1950" w:type="dxa"/>
            <w:tcMar>
              <w:top w:w="80" w:type="dxa"/>
              <w:left w:w="120" w:type="dxa"/>
              <w:bottom w:w="80" w:type="dxa"/>
              <w:right w:w="120" w:type="dxa"/>
            </w:tcMar>
          </w:tcPr>
          <w:p w14:paraId="655F2439" w14:textId="77777777" w:rsidR="00006705" w:rsidRDefault="00000000">
            <w:pPr>
              <w:jc w:val="center"/>
            </w:pPr>
            <w:r>
              <w:rPr>
                <w:rFonts w:ascii="Calibri" w:eastAsia="Calibri" w:hAnsi="Calibri" w:cs="Calibri"/>
              </w:rPr>
              <w:t>22.27x</w:t>
            </w:r>
          </w:p>
        </w:tc>
        <w:tc>
          <w:tcPr>
            <w:tcW w:w="1950" w:type="dxa"/>
            <w:tcMar>
              <w:top w:w="80" w:type="dxa"/>
              <w:left w:w="120" w:type="dxa"/>
              <w:bottom w:w="80" w:type="dxa"/>
              <w:right w:w="120" w:type="dxa"/>
            </w:tcMar>
          </w:tcPr>
          <w:p w14:paraId="0DFD84B0" w14:textId="77777777" w:rsidR="00006705" w:rsidRDefault="00000000">
            <w:pPr>
              <w:jc w:val="center"/>
            </w:pPr>
            <w:r>
              <w:rPr>
                <w:rFonts w:ascii="Calibri" w:eastAsia="Calibri" w:hAnsi="Calibri" w:cs="Calibri"/>
              </w:rPr>
              <w:t>26.73x</w:t>
            </w:r>
          </w:p>
        </w:tc>
      </w:tr>
      <w:tr w:rsidR="00006705" w14:paraId="0F6326F1" w14:textId="77777777">
        <w:tblPrEx>
          <w:tblCellMar>
            <w:top w:w="0" w:type="dxa"/>
            <w:bottom w:w="0" w:type="dxa"/>
          </w:tblCellMar>
        </w:tblPrEx>
        <w:tc>
          <w:tcPr>
            <w:tcW w:w="3500" w:type="dxa"/>
            <w:tcMar>
              <w:top w:w="80" w:type="dxa"/>
              <w:left w:w="120" w:type="dxa"/>
              <w:bottom w:w="80" w:type="dxa"/>
              <w:right w:w="120" w:type="dxa"/>
            </w:tcMar>
          </w:tcPr>
          <w:p w14:paraId="68DA9115" w14:textId="77777777" w:rsidR="00006705" w:rsidRDefault="00000000">
            <w:r>
              <w:rPr>
                <w:rFonts w:ascii="Calibri" w:eastAsia="Calibri" w:hAnsi="Calibri" w:cs="Calibri"/>
              </w:rPr>
              <w:t>P/E</w:t>
            </w:r>
          </w:p>
        </w:tc>
        <w:tc>
          <w:tcPr>
            <w:tcW w:w="1950" w:type="dxa"/>
            <w:tcMar>
              <w:top w:w="80" w:type="dxa"/>
              <w:left w:w="120" w:type="dxa"/>
              <w:bottom w:w="80" w:type="dxa"/>
              <w:right w:w="120" w:type="dxa"/>
            </w:tcMar>
          </w:tcPr>
          <w:p w14:paraId="23FCB72F" w14:textId="77777777" w:rsidR="00006705" w:rsidRDefault="00000000">
            <w:pPr>
              <w:jc w:val="center"/>
            </w:pPr>
            <w:r>
              <w:rPr>
                <w:rFonts w:ascii="Calibri" w:eastAsia="Calibri" w:hAnsi="Calibri" w:cs="Calibri"/>
              </w:rPr>
              <w:t>33.44x</w:t>
            </w:r>
          </w:p>
        </w:tc>
        <w:tc>
          <w:tcPr>
            <w:tcW w:w="1950" w:type="dxa"/>
            <w:tcMar>
              <w:top w:w="80" w:type="dxa"/>
              <w:left w:w="120" w:type="dxa"/>
              <w:bottom w:w="80" w:type="dxa"/>
              <w:right w:w="120" w:type="dxa"/>
            </w:tcMar>
          </w:tcPr>
          <w:p w14:paraId="310C56C6" w14:textId="77777777" w:rsidR="00006705" w:rsidRDefault="00000000">
            <w:pPr>
              <w:jc w:val="center"/>
            </w:pPr>
            <w:r>
              <w:rPr>
                <w:rFonts w:ascii="Calibri" w:eastAsia="Calibri" w:hAnsi="Calibri" w:cs="Calibri"/>
              </w:rPr>
              <w:t>35.40x</w:t>
            </w:r>
          </w:p>
        </w:tc>
        <w:tc>
          <w:tcPr>
            <w:tcW w:w="1950" w:type="dxa"/>
            <w:tcMar>
              <w:top w:w="80" w:type="dxa"/>
              <w:left w:w="120" w:type="dxa"/>
              <w:bottom w:w="80" w:type="dxa"/>
              <w:right w:w="120" w:type="dxa"/>
            </w:tcMar>
          </w:tcPr>
          <w:p w14:paraId="4169B575" w14:textId="77777777" w:rsidR="00006705" w:rsidRDefault="00000000">
            <w:pPr>
              <w:jc w:val="center"/>
            </w:pPr>
            <w:r>
              <w:rPr>
                <w:rFonts w:ascii="Calibri" w:eastAsia="Calibri" w:hAnsi="Calibri" w:cs="Calibri"/>
              </w:rPr>
              <w:t>30.88x</w:t>
            </w:r>
          </w:p>
        </w:tc>
      </w:tr>
    </w:tbl>
    <w:p w14:paraId="69D9B26E" w14:textId="77777777" w:rsidR="00006705" w:rsidRDefault="00006705">
      <w:pPr>
        <w:spacing w:after="160" w:line="276" w:lineRule="auto"/>
      </w:pPr>
    </w:p>
    <w:p w14:paraId="5F9F1FB8" w14:textId="77777777" w:rsidR="00006705" w:rsidRDefault="00000000">
      <w:pPr>
        <w:spacing w:after="160" w:line="276" w:lineRule="auto"/>
      </w:pPr>
      <w:r>
        <w:rPr>
          <w:rFonts w:ascii="Calibri" w:eastAsia="Calibri" w:hAnsi="Calibri" w:cs="Calibri"/>
          <w:sz w:val="21"/>
          <w:szCs w:val="21"/>
        </w:rPr>
        <w:t>Applying the median of MSFT's and GOOGL's multiples to Apple's own financials implies a value of $311.50/share on EV/Revenue, $231.30/share on EV/EBITDA, and $247.47/share on P/E. The EV/EBITDA and P/E-based estimates cluster closely around Apple's actual market price, while the Revenue-multiple estimate is notably higher — likely reflecting that Apple's EV/Revenue multiple (9.19x) sits meaningfully below Microsoft's (12.86x), which may be justified by Microsoft's higher-margin, more services/cloud-weighted revenue mix rather than the market underpricing Apple.</w:t>
      </w:r>
    </w:p>
    <w:p w14:paraId="7690B60C" w14:textId="77777777" w:rsidR="00006705" w:rsidRDefault="00000000">
      <w:pPr>
        <w:pStyle w:val="Heading2"/>
        <w:spacing w:before="280" w:after="120"/>
      </w:pPr>
      <w:r>
        <w:rPr>
          <w:rFonts w:ascii="Calibri" w:eastAsia="Calibri" w:hAnsi="Calibri" w:cs="Calibri"/>
          <w:b/>
          <w:bCs/>
          <w:color w:val="1F1F1F"/>
          <w:sz w:val="24"/>
          <w:szCs w:val="24"/>
        </w:rPr>
        <w:t>Where DCF and Comps Disagree</w:t>
      </w:r>
    </w:p>
    <w:p w14:paraId="28A4F341" w14:textId="77777777" w:rsidR="00006705" w:rsidRDefault="00000000">
      <w:pPr>
        <w:spacing w:after="160" w:line="276" w:lineRule="auto"/>
      </w:pPr>
      <w:r>
        <w:rPr>
          <w:rFonts w:ascii="Calibri" w:eastAsia="Calibri" w:hAnsi="Calibri" w:cs="Calibri"/>
          <w:sz w:val="21"/>
          <w:szCs w:val="21"/>
        </w:rPr>
        <w:t>The DCF is a bottom-up estimate: it says what Apple is worth if my specific assumptions about its future cash flows and discount rate hold. The comps model is a top-down estimate: it says what Apple should be worth if it deserves to trade at the same multiples the market currently assigns to Microsoft and Google. The fact that comps land close to the market price while the DCF lands well below it suggests one of two things: either the market (and the comps) are pricing in growth or qualitative factors — Apple's services momentum, ecosystem lock-in, brand strength, and buyback-driven EPS growth — that a mechanical five-year DCF understates; or the DCF's assumptions, particularly the 9% WACC and 2.5% terminal growth, are simply too conservative for a company of Apple's quality and balance-sheet strength. I lean toward the latter explanation being the larger factor: the sensitivity table shows that modestly more optimistic (but still reasonable) inputs bring the DCF into the same range as the comps and the market price, which suggests the base-case DCF assumptions — not a fundamental overvaluation of Apple — explain most of the gap.</w:t>
      </w:r>
    </w:p>
    <w:p w14:paraId="5B14D90E" w14:textId="77777777" w:rsidR="00006705" w:rsidRDefault="00000000">
      <w:pPr>
        <w:pStyle w:val="Heading2"/>
        <w:spacing w:before="280" w:after="120"/>
      </w:pPr>
      <w:r>
        <w:rPr>
          <w:rFonts w:ascii="Calibri" w:eastAsia="Calibri" w:hAnsi="Calibri" w:cs="Calibri"/>
          <w:b/>
          <w:bCs/>
          <w:color w:val="1F1F1F"/>
          <w:sz w:val="24"/>
          <w:szCs w:val="24"/>
        </w:rPr>
        <w:t>Limitations</w:t>
      </w:r>
    </w:p>
    <w:p w14:paraId="49D7E320" w14:textId="77777777" w:rsidR="00006705" w:rsidRDefault="00000000">
      <w:pPr>
        <w:pStyle w:val="ListParagraph"/>
        <w:numPr>
          <w:ilvl w:val="0"/>
          <w:numId w:val="1"/>
        </w:numPr>
        <w:spacing w:after="80" w:line="276" w:lineRule="auto"/>
      </w:pPr>
      <w:r>
        <w:rPr>
          <w:rFonts w:ascii="Calibri" w:eastAsia="Calibri" w:hAnsi="Calibri" w:cs="Calibri"/>
          <w:sz w:val="21"/>
          <w:szCs w:val="21"/>
        </w:rPr>
        <w:t>Comparable set is small (two peers) and imperfect — MSFT and GOOGL have different business mix, margin profiles, and fiscal year-ends (June and December, respectively, vs. Apple's September), so "FY2025" reflects slightly different 12-month windows across the three companies.</w:t>
      </w:r>
    </w:p>
    <w:p w14:paraId="7A3111D2" w14:textId="77777777" w:rsidR="00006705" w:rsidRDefault="00000000">
      <w:pPr>
        <w:pStyle w:val="ListParagraph"/>
        <w:numPr>
          <w:ilvl w:val="0"/>
          <w:numId w:val="1"/>
        </w:numPr>
        <w:spacing w:after="80" w:line="276" w:lineRule="auto"/>
      </w:pPr>
      <w:r>
        <w:rPr>
          <w:rFonts w:ascii="Calibri" w:eastAsia="Calibri" w:hAnsi="Calibri" w:cs="Calibri"/>
          <w:sz w:val="21"/>
          <w:szCs w:val="21"/>
        </w:rPr>
        <w:t xml:space="preserve">D&amp;A and </w:t>
      </w:r>
      <w:proofErr w:type="spellStart"/>
      <w:r>
        <w:rPr>
          <w:rFonts w:ascii="Calibri" w:eastAsia="Calibri" w:hAnsi="Calibri" w:cs="Calibri"/>
          <w:sz w:val="21"/>
          <w:szCs w:val="21"/>
        </w:rPr>
        <w:t>CapEx</w:t>
      </w:r>
      <w:proofErr w:type="spellEnd"/>
      <w:r>
        <w:rPr>
          <w:rFonts w:ascii="Calibri" w:eastAsia="Calibri" w:hAnsi="Calibri" w:cs="Calibri"/>
          <w:sz w:val="21"/>
          <w:szCs w:val="21"/>
        </w:rPr>
        <w:t xml:space="preserve"> were sourced from company financial statements rather than SEC EDGAR's XBRL company-facts API, since several relevant tags (e.g., shares outstanding) were inconsistently populated across filers in that dataset.</w:t>
      </w:r>
    </w:p>
    <w:p w14:paraId="4785A544" w14:textId="77777777" w:rsidR="00006705" w:rsidRDefault="00000000">
      <w:pPr>
        <w:pStyle w:val="ListParagraph"/>
        <w:numPr>
          <w:ilvl w:val="0"/>
          <w:numId w:val="1"/>
        </w:numPr>
        <w:spacing w:after="80" w:line="276" w:lineRule="auto"/>
      </w:pPr>
      <w:r>
        <w:rPr>
          <w:rFonts w:ascii="Calibri" w:eastAsia="Calibri" w:hAnsi="Calibri" w:cs="Calibri"/>
          <w:sz w:val="21"/>
          <w:szCs w:val="21"/>
        </w:rPr>
        <w:t>The DCF omits changes in net working capital from the free cash flow calculation for simplicity.</w:t>
      </w:r>
    </w:p>
    <w:p w14:paraId="6D2204D5" w14:textId="77777777" w:rsidR="00006705" w:rsidRPr="00933B88" w:rsidRDefault="00000000">
      <w:pPr>
        <w:pStyle w:val="ListParagraph"/>
        <w:numPr>
          <w:ilvl w:val="0"/>
          <w:numId w:val="1"/>
        </w:numPr>
        <w:spacing w:after="80" w:line="276" w:lineRule="auto"/>
      </w:pPr>
      <w:r>
        <w:rPr>
          <w:rFonts w:ascii="Calibri" w:eastAsia="Calibri" w:hAnsi="Calibri" w:cs="Calibri"/>
          <w:sz w:val="21"/>
          <w:szCs w:val="21"/>
        </w:rPr>
        <w:t>Tax rate (15%) and WACC (9%) are simplifying assumptions rather than figures derived bottom-up from Apple's actual capital structure and effective tax rate.</w:t>
      </w:r>
    </w:p>
    <w:p w14:paraId="55B7736C" w14:textId="77777777" w:rsidR="00933B88" w:rsidRDefault="00933B88" w:rsidP="00933B88">
      <w:pPr>
        <w:spacing w:after="80" w:line="276" w:lineRule="auto"/>
      </w:pPr>
    </w:p>
    <w:p w14:paraId="33CABFB2" w14:textId="77777777" w:rsidR="00933B88" w:rsidRDefault="00933B88" w:rsidP="00933B88">
      <w:pPr>
        <w:spacing w:after="80" w:line="276" w:lineRule="auto"/>
      </w:pPr>
    </w:p>
    <w:p w14:paraId="2C937994" w14:textId="77777777" w:rsidR="00933B88" w:rsidRDefault="00933B88" w:rsidP="00933B88">
      <w:pPr>
        <w:spacing w:after="80" w:line="276" w:lineRule="auto"/>
      </w:pPr>
    </w:p>
    <w:p w14:paraId="4D204522" w14:textId="77777777" w:rsidR="00006705" w:rsidRDefault="00000000">
      <w:pPr>
        <w:pStyle w:val="Heading2"/>
        <w:spacing w:before="280" w:after="120"/>
      </w:pPr>
      <w:r>
        <w:rPr>
          <w:rFonts w:ascii="Calibri" w:eastAsia="Calibri" w:hAnsi="Calibri" w:cs="Calibri"/>
          <w:b/>
          <w:bCs/>
          <w:color w:val="1F1F1F"/>
          <w:sz w:val="24"/>
          <w:szCs w:val="24"/>
        </w:rPr>
        <w:lastRenderedPageBreak/>
        <w:t>Conclusion</w:t>
      </w:r>
    </w:p>
    <w:p w14:paraId="6A08F673" w14:textId="77777777" w:rsidR="00006705" w:rsidRDefault="00000000">
      <w:pPr>
        <w:spacing w:after="160" w:line="276" w:lineRule="auto"/>
      </w:pPr>
      <w:r>
        <w:rPr>
          <w:rFonts w:ascii="Calibri" w:eastAsia="Calibri" w:hAnsi="Calibri" w:cs="Calibri"/>
          <w:sz w:val="21"/>
          <w:szCs w:val="21"/>
        </w:rPr>
        <w:t xml:space="preserve">On a base-case DCF, Apple appears overvalued at current prices; on a </w:t>
      </w:r>
      <w:proofErr w:type="gramStart"/>
      <w:r>
        <w:rPr>
          <w:rFonts w:ascii="Calibri" w:eastAsia="Calibri" w:hAnsi="Calibri" w:cs="Calibri"/>
          <w:sz w:val="21"/>
          <w:szCs w:val="21"/>
        </w:rPr>
        <w:t>comps</w:t>
      </w:r>
      <w:proofErr w:type="gramEnd"/>
      <w:r>
        <w:rPr>
          <w:rFonts w:ascii="Calibri" w:eastAsia="Calibri" w:hAnsi="Calibri" w:cs="Calibri"/>
          <w:sz w:val="21"/>
          <w:szCs w:val="21"/>
        </w:rPr>
        <w:t xml:space="preserve"> basis, it appears fairly valued </w:t>
      </w:r>
      <w:proofErr w:type="gramStart"/>
      <w:r>
        <w:rPr>
          <w:rFonts w:ascii="Calibri" w:eastAsia="Calibri" w:hAnsi="Calibri" w:cs="Calibri"/>
          <w:sz w:val="21"/>
          <w:szCs w:val="21"/>
        </w:rPr>
        <w:t>to</w:t>
      </w:r>
      <w:proofErr w:type="gramEnd"/>
      <w:r>
        <w:rPr>
          <w:rFonts w:ascii="Calibri" w:eastAsia="Calibri" w:hAnsi="Calibri" w:cs="Calibri"/>
          <w:sz w:val="21"/>
          <w:szCs w:val="21"/>
        </w:rPr>
        <w:t xml:space="preserve"> modestly undervalued. Given the sensitivity of the DCF to assumptions that are inherently judgment calls, and the closer alignment of the comps-based and market-based estimates, I would not characterize Apple as clearly overvalued at $249.75 — but the DCF result is a useful discipline against paying up further without a corresponding increase in growth or margin expectations.</w:t>
      </w:r>
    </w:p>
    <w:sectPr w:rsidR="0000670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715B"/>
    <w:multiLevelType w:val="hybridMultilevel"/>
    <w:tmpl w:val="E4ECBF32"/>
    <w:lvl w:ilvl="0" w:tplc="6FA459B4">
      <w:start w:val="1"/>
      <w:numFmt w:val="bullet"/>
      <w:lvlText w:val="●"/>
      <w:lvlJc w:val="left"/>
      <w:pPr>
        <w:ind w:left="720" w:hanging="360"/>
      </w:pPr>
    </w:lvl>
    <w:lvl w:ilvl="1" w:tplc="AD3A2598">
      <w:start w:val="1"/>
      <w:numFmt w:val="bullet"/>
      <w:lvlText w:val="○"/>
      <w:lvlJc w:val="left"/>
      <w:pPr>
        <w:ind w:left="1440" w:hanging="360"/>
      </w:pPr>
    </w:lvl>
    <w:lvl w:ilvl="2" w:tplc="940AC7D6">
      <w:start w:val="1"/>
      <w:numFmt w:val="bullet"/>
      <w:lvlText w:val="■"/>
      <w:lvlJc w:val="left"/>
      <w:pPr>
        <w:ind w:left="2160" w:hanging="360"/>
      </w:pPr>
    </w:lvl>
    <w:lvl w:ilvl="3" w:tplc="DF984BF8">
      <w:start w:val="1"/>
      <w:numFmt w:val="bullet"/>
      <w:lvlText w:val="●"/>
      <w:lvlJc w:val="left"/>
      <w:pPr>
        <w:ind w:left="2880" w:hanging="360"/>
      </w:pPr>
    </w:lvl>
    <w:lvl w:ilvl="4" w:tplc="D76E2610">
      <w:start w:val="1"/>
      <w:numFmt w:val="bullet"/>
      <w:lvlText w:val="○"/>
      <w:lvlJc w:val="left"/>
      <w:pPr>
        <w:ind w:left="3600" w:hanging="360"/>
      </w:pPr>
    </w:lvl>
    <w:lvl w:ilvl="5" w:tplc="9B8019EA">
      <w:start w:val="1"/>
      <w:numFmt w:val="bullet"/>
      <w:lvlText w:val="■"/>
      <w:lvlJc w:val="left"/>
      <w:pPr>
        <w:ind w:left="4320" w:hanging="360"/>
      </w:pPr>
    </w:lvl>
    <w:lvl w:ilvl="6" w:tplc="A29A9872">
      <w:start w:val="1"/>
      <w:numFmt w:val="bullet"/>
      <w:lvlText w:val="●"/>
      <w:lvlJc w:val="left"/>
      <w:pPr>
        <w:ind w:left="5040" w:hanging="360"/>
      </w:pPr>
    </w:lvl>
    <w:lvl w:ilvl="7" w:tplc="FD622652">
      <w:start w:val="1"/>
      <w:numFmt w:val="bullet"/>
      <w:lvlText w:val="●"/>
      <w:lvlJc w:val="left"/>
      <w:pPr>
        <w:ind w:left="5760" w:hanging="360"/>
      </w:pPr>
    </w:lvl>
    <w:lvl w:ilvl="8" w:tplc="8E664EA2">
      <w:start w:val="1"/>
      <w:numFmt w:val="bullet"/>
      <w:lvlText w:val="●"/>
      <w:lvlJc w:val="left"/>
      <w:pPr>
        <w:ind w:left="6480" w:hanging="360"/>
      </w:pPr>
    </w:lvl>
  </w:abstractNum>
  <w:num w:numId="1" w16cid:durableId="313218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705"/>
    <w:rsid w:val="00006705"/>
    <w:rsid w:val="000B144C"/>
    <w:rsid w:val="00933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CC7BD9"/>
  <w15:docId w15:val="{EB90BD19-B626-3E4E-85A3-FC09035DA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Mirzaev, Abdulloh</cp:lastModifiedBy>
  <cp:revision>2</cp:revision>
  <dcterms:created xsi:type="dcterms:W3CDTF">2026-09-05T15:42:00Z</dcterms:created>
  <dcterms:modified xsi:type="dcterms:W3CDTF">2026-09-05T15:42:00Z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d9f8e79-315a-4212-88ab-dacdbf25cea9_Enabled">
    <vt:lpwstr>true</vt:lpwstr>
  </property>
  <property fmtid="{D5CDD505-2E9C-101B-9397-08002B2CF9AE}" pid="3" name="MSIP_Label_2d9f8e79-315a-4212-88ab-dacdbf25cea9_SetDate">
    <vt:lpwstr>2026-09-05T15:42:19Z</vt:lpwstr>
  </property>
  <property fmtid="{D5CDD505-2E9C-101B-9397-08002B2CF9AE}" pid="4" name="MSIP_Label_2d9f8e79-315a-4212-88ab-dacdbf25cea9_Method">
    <vt:lpwstr>Standard</vt:lpwstr>
  </property>
  <property fmtid="{D5CDD505-2E9C-101B-9397-08002B2CF9AE}" pid="5" name="MSIP_Label_2d9f8e79-315a-4212-88ab-dacdbf25cea9_Name">
    <vt:lpwstr>defa4170-0d19-0005-0004-bc88714345d2</vt:lpwstr>
  </property>
  <property fmtid="{D5CDD505-2E9C-101B-9397-08002B2CF9AE}" pid="6" name="MSIP_Label_2d9f8e79-315a-4212-88ab-dacdbf25cea9_SiteId">
    <vt:lpwstr>a7d57d32-caf7-498d-a18f-e429f8df1f68</vt:lpwstr>
  </property>
  <property fmtid="{D5CDD505-2E9C-101B-9397-08002B2CF9AE}" pid="7" name="MSIP_Label_2d9f8e79-315a-4212-88ab-dacdbf25cea9_ActionId">
    <vt:lpwstr>ab45b49d-b493-43bc-9392-4c0d55de7e2e</vt:lpwstr>
  </property>
  <property fmtid="{D5CDD505-2E9C-101B-9397-08002B2CF9AE}" pid="8" name="MSIP_Label_2d9f8e79-315a-4212-88ab-dacdbf25cea9_ContentBits">
    <vt:lpwstr>0</vt:lpwstr>
  </property>
  <property fmtid="{D5CDD505-2E9C-101B-9397-08002B2CF9AE}" pid="9" name="MSIP_Label_2d9f8e79-315a-4212-88ab-dacdbf25cea9_Tag">
    <vt:lpwstr>50, 3, 0, 1</vt:lpwstr>
  </property>
</Properties>
</file>