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إدارة-التبرعات-qs-003-2026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إدارة التبرعات (QS-003-2026)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QS-003-2026 | الإصدار: 2.0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 الوطني: يتوافق هذا الإجراء آلياً عبر نظام (رافد) مع معايير الحوكمة الوطنية المعتمدة من (المركز الوطني لتنمية القطاع غير الربحي - مكين) - مسار (السلامة المالية وتنمية الموارد)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أتمتة دورة التبرعات (النقدية والعينية) لضمان أعلى درجات الشفافية والامتثال للمركز الوطني لتنمية القطاع غير الربحي، بحيث يتم تسجيل كافة العمليات فوريا وإصدار الإيصالات وبناء التقارير آليا عبر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“نظام رافد التقني”</w:t>
      </w:r>
      <w:r>
        <w:rPr>
          <w:rFonts w:cs="Arial" w:ascii="Arial" w:hAnsi="Arial"/>
          <w:rtl/>
        </w:rPr>
        <w:t xml:space="preserve">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الاستلام والتوثيق المباشر: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النقدي/الإلكتروني: بمجرد الدفع عبر المتجر أو التحويل، يقوم رافد بإنشاء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“سند قبض إلكتروني”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آليا بتصنيف التبرع (مقيد/عام/زكاة).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العيني: يدخل أمين المستودع التبرع بمنصة المخازن في رافد، ويصدر النظام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“إيصال استلام عيني”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ويدرج المواد كأصول أو مخزون قابل للصرف.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الاعتماد المالي: تمر العملية بمسار تدقيق آلي مطابق لكشوفات البنك لتأكيد الإيداع الفعلي.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التواصل التلقائي: يرسل النظام (رسالة نصية مع رابط الإيصال الإلكتروني ورسالة شكر) للمتبرع فور تأكيد استلام المبلغ.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الثقة الرقمية: رقم تتبع (Tracking ID) فريد لكل تبرع يتيح للمانح متابعة حالة تبرعه المحوكم عبر مستكشف التبرعات في رافد.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الاستدامة والسلوك الأخلاقي: لا يسمح بإصدار إيصالات نقدية يدوية مطلقا (عدم التسامح التام مع التعامليات النقدية غير الموثقة في النظام فورا).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تصنيف المانحين: يقوم التحليل المتقدم للبيانات في نظام رافد بتصنيف المانحين آليا حسب التكرار وحجم التبرع لتقديم تقارير مخصصة لكل فئة.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خطأ في توجيه التبرع المقيد. (يعالج من خلال حظر النظام للصرف من صناديق مقيدة لبرامج غير مطابقة للتصنيف).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إدماج (بوابات الدفع الذكية – Apple Pay وغيرها) مباشرة في رافد لتقليل وقت التبرع إلى أقل من 30 ثانية.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6"/>
        </w:numPr>
        <w:bidi w:val="1"/>
        <w:jc w:val="right"/>
      </w:pPr>
      <w:r>
        <w:rPr>
          <w:rFonts w:cs="Arial" w:ascii="Arial" w:hAnsi="Arial"/>
          <w:rtl/>
        </w:rPr>
        <w:t xml:space="preserve">الإشراف الكلي: الإدارة المالية (الرقابة) وتنمية الموارد (الاستقطاب).</w:t>
      </w:r>
    </w:p>
    <w:p>
      <w:pPr>
        <w:pStyle w:val="Compact"/>
        <w:numPr>
          <w:ilvl w:val="0"/>
          <w:numId w:val="1006"/>
        </w:numPr>
        <w:bidi w:val="1"/>
        <w:jc w:val="right"/>
      </w:pPr>
      <w:r>
        <w:rPr>
          <w:rFonts w:cs="Arial" w:ascii="Arial" w:hAnsi="Arial"/>
          <w:rtl/>
        </w:rPr>
        <w:t xml:space="preserve">مدخل العمليات العينية: أمناء المستودعات (عبر تابلت إدارة المخزون).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7"/>
        </w:numPr>
        <w:bidi w:val="1"/>
        <w:jc w:val="right"/>
      </w:pPr>
      <w:r>
        <w:rPr>
          <w:rFonts w:cs="Arial" w:ascii="Arial" w:hAnsi="Arial"/>
          <w:rtl/>
        </w:rPr>
        <w:t xml:space="preserve">زمن توثيق التبرع البنكي وإصدار الإيصال (آلي ولحظي 0 دقائق من وصول الإشعار البنكي لرافد).</w:t>
      </w:r>
    </w:p>
    <w:p>
      <w:pPr>
        <w:pStyle w:val="Compact"/>
        <w:numPr>
          <w:ilvl w:val="0"/>
          <w:numId w:val="1007"/>
        </w:numPr>
        <w:bidi w:val="1"/>
        <w:jc w:val="right"/>
      </w:pPr>
      <w:r>
        <w:rPr>
          <w:rFonts w:cs="Arial" w:ascii="Arial" w:hAnsi="Arial"/>
          <w:rtl/>
        </w:rPr>
        <w:t xml:space="preserve">نسبة تطابق المبالغ المقبوضة مع الإيصالات المصدرة عبر رافد (100% شهريا).</w:t>
      </w:r>
    </w:p>
    <w:p>
      <w:pPr>
        <w:pStyle w:val="Compact"/>
        <w:numPr>
          <w:ilvl w:val="0"/>
          <w:numId w:val="1007"/>
        </w:numPr>
        <w:bidi w:val="1"/>
        <w:jc w:val="right"/>
      </w:pPr>
      <w:r>
        <w:rPr>
          <w:rFonts w:cs="Arial" w:ascii="Arial" w:hAnsi="Arial"/>
          <w:rtl/>
        </w:rPr>
        <w:t xml:space="preserve">نسبة نمو الإيرادات المتأتية من قنوات الدفع الرقمية.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2026-03-03T04:16:12Z</dcterms:created>
  <dcterms:modified xsi:type="dcterms:W3CDTF">2026-03-03T04:16:12Z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