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18F3" w14:textId="77777777" w:rsidR="00DE0549" w:rsidRDefault="00000000" w:rsidP="00CB11B1">
      <w:pPr>
        <w:pStyle w:val="1"/>
        <w:jc w:val="center"/>
        <w:rPr>
          <w:b/>
          <w:bCs/>
          <w:rtl/>
        </w:rPr>
      </w:pPr>
      <w:bookmarkStart w:id="0" w:name="سياسة-الإفصاح-والشفافية-gov-002-2026"/>
      <w:r w:rsidRPr="00CB11B1">
        <w:rPr>
          <w:rFonts w:ascii="Arial" w:hAnsi="Arial" w:cs="Arial"/>
          <w:b/>
          <w:bCs/>
          <w:rtl/>
        </w:rPr>
        <w:t>سياسة الإفصاح والشفافية (GOV-002-2026)</w:t>
      </w:r>
    </w:p>
    <w:p w14:paraId="0B6650FA" w14:textId="77777777" w:rsidR="00CB11B1" w:rsidRPr="00CB11B1" w:rsidRDefault="00CB11B1" w:rsidP="00CB11B1"/>
    <w:p w14:paraId="1E4B18F4" w14:textId="77777777" w:rsidR="00DE0549" w:rsidRDefault="00000000" w:rsidP="00CB11B1">
      <w:r>
        <w:rPr>
          <w:rFonts w:ascii="Arial" w:hAnsi="Arial" w:cs="Arial"/>
          <w:rtl/>
        </w:rPr>
        <w:t>الوثيقة: GOV-002-2026 | الإصدار: 2.0 (رقمي بالكامل) | نظام رافد التقني المرجع الوطني: يتوافق هذا الإجراء آلياً عبر نظام (رافد) مع معايير الحوكمة الوطنية المعتمدة من (المركز الوطني لتنمية القطاع غير الربحي - مكين) - مسار (الشفافية والمساءلة والإفصاح)</w:t>
      </w:r>
    </w:p>
    <w:p w14:paraId="1E4B18F7" w14:textId="77777777" w:rsidR="00DE0549" w:rsidRDefault="00000000" w:rsidP="00CB11B1">
      <w:r>
        <w:rPr>
          <w:rFonts w:ascii="Arial" w:hAnsi="Arial" w:cs="Arial"/>
          <w:rtl/>
        </w:rPr>
        <w:t>🔴 سياسة التوثيق الرشيق :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1E4B18F8" w14:textId="77777777" w:rsidR="00DE0549" w:rsidRDefault="00000000" w:rsidP="00CB11B1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1E4B18F9" w14:textId="77777777" w:rsidR="00DE0549" w:rsidRDefault="00000000" w:rsidP="00CB11B1">
      <w:r>
        <w:rPr>
          <w:rFonts w:ascii="Arial" w:hAnsi="Arial" w:cs="Arial"/>
          <w:rtl/>
        </w:rPr>
        <w:t>أتمتة عملية تنظيم وإتاحة ونشر البيانات المالية، التشغيلية، وقرارات الحوكمة للجمهور والمانحين بشكل مباشر وموثوق باستخدام بوابة “البيانات المفتوحة” بنظام رافد التقني.</w:t>
      </w:r>
    </w:p>
    <w:p w14:paraId="1E4B18FA" w14:textId="77777777" w:rsidR="00DE0549" w:rsidRDefault="00000000" w:rsidP="00CB11B1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1E4B18FB" w14:textId="77777777" w:rsidR="00DE0549" w:rsidRDefault="00000000" w:rsidP="00CB11B1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التصنيف الآلي: يصنف رافد الوثائق المعتمدة داخليا بناء على معيار الإفصاح (سري/للاستخدام الداخلي/عام).</w:t>
      </w:r>
    </w:p>
    <w:p w14:paraId="1E4B18FC" w14:textId="77777777" w:rsidR="00DE0549" w:rsidRDefault="00000000" w:rsidP="00CB11B1">
      <w:pPr>
        <w:numPr>
          <w:ilvl w:val="0"/>
          <w:numId w:val="33"/>
        </w:numPr>
      </w:pPr>
      <w:r>
        <w:rPr>
          <w:rFonts w:ascii="Arial" w:hAnsi="Arial" w:cs="Arial"/>
          <w:rtl/>
        </w:rPr>
        <w:t>النشر التلقائي: أي وثيقة تصنف (عامة) - مثل القوائم المالية المعتمدة - ترحل آليا إلى “بوابة الشفافية” المربوطة بموقع الجمعية لتكون متاحة للجمهور بلا تدخل بشري.</w:t>
      </w:r>
    </w:p>
    <w:p w14:paraId="1E4B18FD" w14:textId="77777777" w:rsidR="00DE0549" w:rsidRDefault="00000000" w:rsidP="00CB11B1">
      <w:pPr>
        <w:numPr>
          <w:ilvl w:val="0"/>
          <w:numId w:val="33"/>
        </w:numPr>
      </w:pPr>
      <w:r>
        <w:rPr>
          <w:rFonts w:ascii="Arial" w:hAnsi="Arial" w:cs="Arial"/>
          <w:rtl/>
        </w:rPr>
        <w:t>تحديث البيانات: يتم تحديث مؤشرات الأثر المجتمعي (أعداد المستفيدين، حجم التبرعات) على الموقع الرسمي لحظيا من خلال واجهة برمجة التطبيقات (الربط البرمجي) المرتبطة بقواعد بيانات رافد مباشرة.</w:t>
      </w:r>
    </w:p>
    <w:p w14:paraId="1E4B18FE" w14:textId="77777777" w:rsidR="00DE0549" w:rsidRDefault="00000000" w:rsidP="00CB11B1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1E4B18FF" w14:textId="77777777" w:rsidR="00DE0549" w:rsidRDefault="00000000" w:rsidP="00CB11B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الشفافية والسلوك الأخلاقي (Clause 5.1.1): تلتزم الجمعية رقميا بكشف هوية كبار المانحين والشركاء (في حال موافقتهم الاستباقية بالنظام)، وتنشر تقرير الحوكمة السنوي آليا فور اعتماده لمنع التلاعب.</w:t>
      </w:r>
    </w:p>
    <w:p w14:paraId="1E4B1900" w14:textId="77777777" w:rsidR="00DE0549" w:rsidRDefault="00000000" w:rsidP="00CB11B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الرقمية: البيانات المتاحة للجمهور تكون (Read-Only) مع ختم مصادقة رقمية لمنع استخدامها أو تحويرها، مع حجب أي بيانات شخصية (PII) للمستفيدين أو الموظفين.</w:t>
      </w:r>
    </w:p>
    <w:p w14:paraId="1E4B1901" w14:textId="77777777" w:rsidR="00DE0549" w:rsidRDefault="00000000" w:rsidP="00CB11B1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الاستدامة: استبدال حزم التقارير السنوية المطبوعة بتقارير تفاعلية (Interactive Web Reports) تستمد من رافد.</w:t>
      </w:r>
    </w:p>
    <w:p w14:paraId="1E4B1902" w14:textId="77777777" w:rsidR="00DE0549" w:rsidRDefault="00000000" w:rsidP="00CB11B1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1E4B1903" w14:textId="77777777" w:rsidR="00DE0549" w:rsidRDefault="00000000" w:rsidP="00CB11B1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اختراق البوابة وتعديل أرقام القوائم المالية لتشويه السمعة. (تتم حماية البوابة بجدران حماية متقدمة WAF ورقابة على مدار الساعة من فريق رافد).</w:t>
      </w:r>
    </w:p>
    <w:p w14:paraId="1E4B1904" w14:textId="77777777" w:rsidR="00DE0549" w:rsidRDefault="00000000" w:rsidP="00CB11B1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إدراج محرك بحث يعتمد على التحليل المتقدم للبيانات في واجهة الجمعية للإجابة الفورية على استفسارات الجمهور حول أرقام ومشاريع الجمعية.</w:t>
      </w:r>
    </w:p>
    <w:p w14:paraId="1E4B1905" w14:textId="77777777" w:rsidR="00DE0549" w:rsidRDefault="00000000" w:rsidP="00CB11B1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1E4B1906" w14:textId="77777777" w:rsidR="00DE0549" w:rsidRDefault="00000000" w:rsidP="00CB11B1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الإدارة والمتابعة: وحدة الحوكمة والامتثال بالتعاون مع الاتصال المؤسسي.</w:t>
      </w:r>
    </w:p>
    <w:p w14:paraId="1E4B1907" w14:textId="77777777" w:rsidR="00DE0549" w:rsidRDefault="00000000" w:rsidP="00CB11B1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الدعم التقني وأمن النشر: إدارة تقنية المعلومات في رافد.</w:t>
      </w:r>
    </w:p>
    <w:p w14:paraId="1E4B1908" w14:textId="77777777" w:rsidR="00DE0549" w:rsidRDefault="00000000" w:rsidP="00CB11B1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lastRenderedPageBreak/>
        <w:t>6. مؤشرات الأداء الأساسية</w:t>
      </w:r>
    </w:p>
    <w:p w14:paraId="1E4B1909" w14:textId="77777777" w:rsidR="00DE0549" w:rsidRDefault="00000000" w:rsidP="00CB11B1">
      <w:pPr>
        <w:numPr>
          <w:ilvl w:val="0"/>
          <w:numId w:val="37"/>
        </w:numPr>
      </w:pPr>
      <w:r>
        <w:rPr>
          <w:rFonts w:ascii="Arial" w:hAnsi="Arial" w:cs="Arial"/>
          <w:rtl/>
        </w:rPr>
        <w:t>الوقت المستغرق لنشر التقارير المالية والنوعية على البوابة منذ لحظة اعتمادها (المستهدف: آلي = صفر يوم).</w:t>
      </w:r>
    </w:p>
    <w:p w14:paraId="1E4B190A" w14:textId="77777777" w:rsidR="00DE0549" w:rsidRDefault="00000000" w:rsidP="00CB11B1">
      <w:pPr>
        <w:numPr>
          <w:ilvl w:val="0"/>
          <w:numId w:val="37"/>
        </w:numPr>
      </w:pPr>
      <w:r>
        <w:rPr>
          <w:rFonts w:ascii="Arial" w:hAnsi="Arial" w:cs="Arial"/>
          <w:rtl/>
        </w:rPr>
        <w:t>عدد الزيارات ومرات التنزيل لبيانات الشفافية عبر البوابة الرقمية المفتوحة.</w:t>
      </w:r>
      <w:bookmarkEnd w:id="0"/>
      <w:bookmarkEnd w:id="6"/>
    </w:p>
    <w:sectPr w:rsidR="00DE0549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698E5" w14:textId="77777777" w:rsidR="00EB7677" w:rsidRDefault="00EB7677">
      <w:pPr>
        <w:spacing w:after="0" w:line="240" w:lineRule="auto"/>
      </w:pPr>
      <w:r>
        <w:separator/>
      </w:r>
    </w:p>
  </w:endnote>
  <w:endnote w:type="continuationSeparator" w:id="0">
    <w:p w14:paraId="51CAE5ED" w14:textId="77777777" w:rsidR="00EB7677" w:rsidRDefault="00EB7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CF0D" w14:textId="77777777" w:rsidR="00EB7677" w:rsidRDefault="00EB7677">
      <w:pPr>
        <w:spacing w:after="0" w:line="240" w:lineRule="auto"/>
      </w:pPr>
      <w:r>
        <w:separator/>
      </w:r>
    </w:p>
  </w:footnote>
  <w:footnote w:type="continuationSeparator" w:id="0">
    <w:p w14:paraId="1BC9C68C" w14:textId="77777777" w:rsidR="00EB7677" w:rsidRDefault="00EB7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190B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4B190C" wp14:editId="1E4B190D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E8E6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B4C6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97C25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5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6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1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30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3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9"/>
  </w:num>
  <w:num w:numId="2" w16cid:durableId="1093747151">
    <w:abstractNumId w:val="23"/>
  </w:num>
  <w:num w:numId="3" w16cid:durableId="222641372">
    <w:abstractNumId w:val="9"/>
  </w:num>
  <w:num w:numId="4" w16cid:durableId="275216517">
    <w:abstractNumId w:val="27"/>
  </w:num>
  <w:num w:numId="5" w16cid:durableId="2110543166">
    <w:abstractNumId w:val="32"/>
  </w:num>
  <w:num w:numId="6" w16cid:durableId="765078252">
    <w:abstractNumId w:val="28"/>
  </w:num>
  <w:num w:numId="7" w16cid:durableId="261377897">
    <w:abstractNumId w:val="21"/>
  </w:num>
  <w:num w:numId="8" w16cid:durableId="1640262421">
    <w:abstractNumId w:val="12"/>
  </w:num>
  <w:num w:numId="9" w16cid:durableId="663632672">
    <w:abstractNumId w:val="25"/>
  </w:num>
  <w:num w:numId="10" w16cid:durableId="2057386950">
    <w:abstractNumId w:val="2"/>
  </w:num>
  <w:num w:numId="11" w16cid:durableId="690572674">
    <w:abstractNumId w:val="30"/>
  </w:num>
  <w:num w:numId="12" w16cid:durableId="2029018426">
    <w:abstractNumId w:val="18"/>
  </w:num>
  <w:num w:numId="13" w16cid:durableId="1793598581">
    <w:abstractNumId w:val="24"/>
  </w:num>
  <w:num w:numId="14" w16cid:durableId="2113744073">
    <w:abstractNumId w:val="7"/>
  </w:num>
  <w:num w:numId="15" w16cid:durableId="1401059871">
    <w:abstractNumId w:val="26"/>
  </w:num>
  <w:num w:numId="16" w16cid:durableId="205721735">
    <w:abstractNumId w:val="17"/>
  </w:num>
  <w:num w:numId="17" w16cid:durableId="1070158808">
    <w:abstractNumId w:val="14"/>
  </w:num>
  <w:num w:numId="18" w16cid:durableId="1567186463">
    <w:abstractNumId w:val="22"/>
  </w:num>
  <w:num w:numId="19" w16cid:durableId="19354960">
    <w:abstractNumId w:val="11"/>
  </w:num>
  <w:num w:numId="20" w16cid:durableId="496700305">
    <w:abstractNumId w:val="13"/>
  </w:num>
  <w:num w:numId="21" w16cid:durableId="1676880514">
    <w:abstractNumId w:val="33"/>
  </w:num>
  <w:num w:numId="22" w16cid:durableId="1705328301">
    <w:abstractNumId w:val="31"/>
  </w:num>
  <w:num w:numId="23" w16cid:durableId="2144804812">
    <w:abstractNumId w:val="16"/>
  </w:num>
  <w:num w:numId="24" w16cid:durableId="397482132">
    <w:abstractNumId w:val="6"/>
  </w:num>
  <w:num w:numId="25" w16cid:durableId="1345286757">
    <w:abstractNumId w:val="8"/>
  </w:num>
  <w:num w:numId="26" w16cid:durableId="2021420890">
    <w:abstractNumId w:val="5"/>
  </w:num>
  <w:num w:numId="27" w16cid:durableId="37945836">
    <w:abstractNumId w:val="10"/>
  </w:num>
  <w:num w:numId="28" w16cid:durableId="1511523890">
    <w:abstractNumId w:val="15"/>
  </w:num>
  <w:num w:numId="29" w16cid:durableId="1200706350">
    <w:abstractNumId w:val="20"/>
  </w:num>
  <w:num w:numId="30" w16cid:durableId="913662728">
    <w:abstractNumId w:val="29"/>
  </w:num>
  <w:num w:numId="31" w16cid:durableId="1594043844">
    <w:abstractNumId w:val="4"/>
  </w:num>
  <w:num w:numId="32" w16cid:durableId="1732003178">
    <w:abstractNumId w:val="0"/>
  </w:num>
  <w:num w:numId="33" w16cid:durableId="678967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73276954">
    <w:abstractNumId w:val="1"/>
  </w:num>
  <w:num w:numId="35" w16cid:durableId="2112554741">
    <w:abstractNumId w:val="1"/>
  </w:num>
  <w:num w:numId="36" w16cid:durableId="1086270871">
    <w:abstractNumId w:val="1"/>
  </w:num>
  <w:num w:numId="37" w16cid:durableId="13723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B11B1"/>
    <w:rsid w:val="00CE4A60"/>
    <w:rsid w:val="00CF478B"/>
    <w:rsid w:val="00D163E7"/>
    <w:rsid w:val="00D22BB3"/>
    <w:rsid w:val="00D45ECB"/>
    <w:rsid w:val="00D54A9A"/>
    <w:rsid w:val="00DE0549"/>
    <w:rsid w:val="00DE76FE"/>
    <w:rsid w:val="00E03FC3"/>
    <w:rsid w:val="00E35C34"/>
    <w:rsid w:val="00E635F1"/>
    <w:rsid w:val="00E92364"/>
    <w:rsid w:val="00EA31BB"/>
    <w:rsid w:val="00EA79B0"/>
    <w:rsid w:val="00EB3A28"/>
    <w:rsid w:val="00EB7677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4B18F3"/>
  <w15:docId w15:val="{10D724CB-5021-43B0-B8AA-7EF50F8B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2026-04-16T08:05:00Z</dcterms:modified>
</cp:coreProperties>
</file>