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AB2E" w14:textId="77777777" w:rsidR="00D730A5" w:rsidRDefault="005F3F35" w:rsidP="006C5DF6">
      <w:pPr>
        <w:pStyle w:val="1"/>
        <w:jc w:val="center"/>
        <w:rPr>
          <w:rtl/>
        </w:rPr>
      </w:pPr>
      <w:bookmarkStart w:id="0" w:name="سياسة-استرداد-التبرعات"/>
      <w:r>
        <w:rPr>
          <w:rFonts w:ascii="Arial" w:hAnsi="Arial" w:cs="Arial"/>
          <w:rtl/>
        </w:rPr>
        <w:t>سياسة استرداد التبرعات</w:t>
      </w:r>
    </w:p>
    <w:p w14:paraId="58170E77" w14:textId="77777777" w:rsidR="006C5DF6" w:rsidRPr="006C5DF6" w:rsidRDefault="006C5DF6" w:rsidP="006C5DF6"/>
    <w:p w14:paraId="759DAB2F" w14:textId="77777777" w:rsidR="00D730A5" w:rsidRDefault="005F3F35" w:rsidP="006C5DF6">
      <w:r>
        <w:rPr>
          <w:rFonts w:ascii="Arial" w:hAnsi="Arial" w:cs="Arial"/>
          <w:rtl/>
        </w:rPr>
        <w:t>**جمعية البر بصبيا - إصدار رقمي مدعوم بـ (رافد التقني)*</w:t>
      </w:r>
    </w:p>
    <w:p w14:paraId="759DAB30" w14:textId="77777777" w:rsidR="00D730A5" w:rsidRDefault="005F3F35" w:rsidP="006C5DF6">
      <w:pPr>
        <w:pStyle w:val="2"/>
      </w:pPr>
      <w:bookmarkStart w:id="1" w:name="الغرض"/>
      <w:r>
        <w:rPr>
          <w:rFonts w:ascii="Arial" w:hAnsi="Arial" w:cs="Arial"/>
          <w:rtl/>
        </w:rPr>
        <w:t>1. الغرض</w:t>
      </w:r>
    </w:p>
    <w:p w14:paraId="759DAB31" w14:textId="77777777" w:rsidR="00D730A5" w:rsidRDefault="005F3F35" w:rsidP="006C5DF6">
      <w:r>
        <w:rPr>
          <w:rFonts w:ascii="Arial" w:hAnsi="Arial" w:cs="Arial"/>
          <w:rtl/>
        </w:rPr>
        <w:t>توضيح الحالات التي يحق فيها للمانح طلب استرداد قيمة التبرع، وتوثيق الإجراءات التنظيمية والتقنية المتبعة لضمان حفظ حقوق الطرفين وفق اشتراطات الجهات الإشرافية.</w:t>
      </w:r>
    </w:p>
    <w:p w14:paraId="759DAB32" w14:textId="77777777" w:rsidR="00D730A5" w:rsidRDefault="005F3F35" w:rsidP="006C5DF6">
      <w:pPr>
        <w:pStyle w:val="2"/>
      </w:pPr>
      <w:bookmarkStart w:id="2" w:name="الحالات-الموجبة-للاسترداد"/>
      <w:bookmarkEnd w:id="1"/>
      <w:r>
        <w:rPr>
          <w:rFonts w:ascii="Arial" w:hAnsi="Arial" w:cs="Arial"/>
          <w:rtl/>
        </w:rPr>
        <w:t>2. الحالات الموجبة للاسترداد</w:t>
      </w:r>
    </w:p>
    <w:p w14:paraId="769F3915" w14:textId="77777777" w:rsidR="00EA5B41" w:rsidRDefault="005F3F35" w:rsidP="006C5DF6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يسمح بالاسترداد ضمن نافذة زمنية لا تتجاوز (15 يوما) في الحالات التالية حصرا</w:t>
      </w:r>
      <w:r>
        <w:rPr>
          <w:rFonts w:ascii="Arial" w:hAnsi="Arial" w:cs="Arial"/>
          <w:rtl/>
        </w:rPr>
        <w:t>:</w:t>
      </w:r>
    </w:p>
    <w:p w14:paraId="099BB1FE" w14:textId="77777777" w:rsidR="00EA5B41" w:rsidRDefault="005F3F35" w:rsidP="006C5DF6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1. التبرع بالخطأ: (مثال: خصم مبلغ أعلى من المقصود، أو الخصم المكرر بسبب خلل في البوابة الإلكترونية).</w:t>
      </w:r>
    </w:p>
    <w:p w14:paraId="12E47700" w14:textId="77777777" w:rsidR="00EA5B41" w:rsidRDefault="005F3F35" w:rsidP="006C5DF6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2. انتفاء القصد الطوعي: التبرع الذي يثبت للجمعية وقوعه تحت تأثير الاحتيال الإلكتروني أو السرقة المصرفية من بطاقة المانح.</w:t>
      </w:r>
    </w:p>
    <w:p w14:paraId="759DAB33" w14:textId="35081A44" w:rsidR="00D730A5" w:rsidRDefault="005F3F35" w:rsidP="006C5DF6">
      <w:r>
        <w:rPr>
          <w:rFonts w:ascii="Arial" w:hAnsi="Arial" w:cs="Arial"/>
          <w:rtl/>
        </w:rPr>
        <w:t xml:space="preserve"> 3. الاكتفاء المالي للمشروع المقيد: إذا كان الدعم لمشروع محدد كلفة وتم اكتمال تبرعاته قبل وصول هذا الدعم، يخير المتبرع بين تدوير المبلغ لمشروع آخر أو استرداده.</w:t>
      </w:r>
    </w:p>
    <w:p w14:paraId="759DAB34" w14:textId="77777777" w:rsidR="00D730A5" w:rsidRDefault="005F3F35" w:rsidP="006C5DF6">
      <w:pPr>
        <w:pStyle w:val="2"/>
      </w:pPr>
      <w:bookmarkStart w:id="3" w:name="آلية-الاسترداد-الاعتماد-الرقمي"/>
      <w:bookmarkEnd w:id="2"/>
      <w:r>
        <w:rPr>
          <w:rFonts w:ascii="Arial" w:hAnsi="Arial" w:cs="Arial"/>
          <w:rtl/>
        </w:rPr>
        <w:t>3. آلية الاسترداد (الاعتماد الرقمي)</w:t>
      </w:r>
    </w:p>
    <w:p w14:paraId="1516444F" w14:textId="77777777" w:rsidR="00D06097" w:rsidRDefault="005F3F35" w:rsidP="00D0609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لضمان عدم وجود تلاعب في الحسابات، لا تقبل الجمعية أي طلبات شفهية أو نق</w:t>
      </w:r>
      <w:r>
        <w:rPr>
          <w:rFonts w:ascii="Arial" w:hAnsi="Arial" w:cs="Arial"/>
          <w:rtl/>
        </w:rPr>
        <w:t>د</w:t>
      </w:r>
      <w:r>
        <w:rPr>
          <w:rFonts w:ascii="Arial" w:hAnsi="Arial" w:cs="Arial"/>
          <w:rtl/>
        </w:rPr>
        <w:t>ي</w:t>
      </w:r>
      <w:r>
        <w:rPr>
          <w:rFonts w:ascii="Arial" w:hAnsi="Arial" w:cs="Arial"/>
          <w:rtl/>
        </w:rPr>
        <w:t>ة</w:t>
      </w:r>
      <w:r w:rsidR="00D06097">
        <w:rPr>
          <w:rFonts w:ascii="Arial" w:hAnsi="Arial" w:cs="Arial" w:hint="cs"/>
          <w:rtl/>
        </w:rPr>
        <w:t>:</w:t>
      </w:r>
    </w:p>
    <w:p w14:paraId="55AFAD69" w14:textId="77777777" w:rsidR="00D06097" w:rsidRDefault="005F3F35" w:rsidP="00D0609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1</w:t>
      </w:r>
      <w:r>
        <w:rPr>
          <w:rFonts w:ascii="Arial" w:hAnsi="Arial" w:cs="Arial"/>
          <w:rtl/>
        </w:rPr>
        <w:t>.</w:t>
      </w:r>
      <w:r>
        <w:rPr>
          <w:rFonts w:ascii="Arial" w:hAnsi="Arial" w:cs="Arial"/>
          <w:rtl/>
        </w:rPr>
        <w:t xml:space="preserve"> التقديم: يرفع طلب الاسترداد مرفقا بوصل التحويل عبر وسائل التواصل الرسمية للجمعية أو البريد الإلكتروني. </w:t>
      </w:r>
    </w:p>
    <w:p w14:paraId="4A64606F" w14:textId="77777777" w:rsidR="00527524" w:rsidRDefault="005F3F35" w:rsidP="00D0609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2. المعالجة بالنظام: يدخل محاسب الجمعية الطلب في مسار (استرداد) بنظام رافد.</w:t>
      </w:r>
    </w:p>
    <w:p w14:paraId="759DAB35" w14:textId="43165269" w:rsidR="00D730A5" w:rsidRPr="00D06097" w:rsidRDefault="005F3F35" w:rsidP="00D06097">
      <w:pPr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 3. التوثيق المحاسبي </w:t>
      </w:r>
      <w:proofErr w:type="gramStart"/>
      <w:r>
        <w:rPr>
          <w:rFonts w:ascii="Arial" w:hAnsi="Arial" w:cs="Arial"/>
          <w:rtl/>
        </w:rPr>
        <w:t>الآلي :</w:t>
      </w:r>
      <w:proofErr w:type="gramEnd"/>
      <w:r>
        <w:rPr>
          <w:rFonts w:ascii="Arial" w:hAnsi="Arial" w:cs="Arial"/>
          <w:rtl/>
        </w:rPr>
        <w:t xml:space="preserve"> لا يتم صرف المبلغ يدويا، بل يعاد حصرا إلى (ذات الحساب البنكي / رقم البطاقة) الذي صدر منه التبرع، وتصدر به فاتورة عكسية تلقائية في النظام المالي للجمعية لإغلاق القيد المحاسبي.</w:t>
      </w:r>
    </w:p>
    <w:p w14:paraId="759DAB36" w14:textId="77777777" w:rsidR="00D730A5" w:rsidRDefault="005F3F35" w:rsidP="006C5DF6">
      <w:r>
        <w:rPr>
          <w:rFonts w:ascii="Arial" w:hAnsi="Arial" w:cs="Arial"/>
          <w:rtl/>
        </w:rPr>
        <w:t>(لائحة الاسترداد تبني الثقة المتبادلة بين الجمعية وشركاء العطاء)</w:t>
      </w:r>
      <w:bookmarkEnd w:id="0"/>
      <w:bookmarkEnd w:id="3"/>
    </w:p>
    <w:sectPr w:rsidR="00D730A5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DBBA" w14:textId="77777777" w:rsidR="005F3F35" w:rsidRDefault="005F3F35">
      <w:pPr>
        <w:spacing w:after="0" w:line="240" w:lineRule="auto"/>
      </w:pPr>
      <w:r>
        <w:separator/>
      </w:r>
    </w:p>
  </w:endnote>
  <w:endnote w:type="continuationSeparator" w:id="0">
    <w:p w14:paraId="70BDFD81" w14:textId="77777777" w:rsidR="005F3F35" w:rsidRDefault="005F3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2DDB" w14:textId="77777777" w:rsidR="005F3F35" w:rsidRDefault="005F3F35">
      <w:pPr>
        <w:spacing w:after="0" w:line="240" w:lineRule="auto"/>
      </w:pPr>
      <w:r>
        <w:separator/>
      </w:r>
    </w:p>
  </w:footnote>
  <w:footnote w:type="continuationSeparator" w:id="0">
    <w:p w14:paraId="13B9D100" w14:textId="77777777" w:rsidR="005F3F35" w:rsidRDefault="005F3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AB37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9DAB38" wp14:editId="759DAB39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B86E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3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4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19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8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7"/>
  </w:num>
  <w:num w:numId="2" w16cid:durableId="1093747151">
    <w:abstractNumId w:val="21"/>
  </w:num>
  <w:num w:numId="3" w16cid:durableId="222641372">
    <w:abstractNumId w:val="7"/>
  </w:num>
  <w:num w:numId="4" w16cid:durableId="275216517">
    <w:abstractNumId w:val="25"/>
  </w:num>
  <w:num w:numId="5" w16cid:durableId="2110543166">
    <w:abstractNumId w:val="30"/>
  </w:num>
  <w:num w:numId="6" w16cid:durableId="765078252">
    <w:abstractNumId w:val="26"/>
  </w:num>
  <w:num w:numId="7" w16cid:durableId="261377897">
    <w:abstractNumId w:val="19"/>
  </w:num>
  <w:num w:numId="8" w16cid:durableId="1640262421">
    <w:abstractNumId w:val="10"/>
  </w:num>
  <w:num w:numId="9" w16cid:durableId="663632672">
    <w:abstractNumId w:val="23"/>
  </w:num>
  <w:num w:numId="10" w16cid:durableId="2057386950">
    <w:abstractNumId w:val="1"/>
  </w:num>
  <w:num w:numId="11" w16cid:durableId="690572674">
    <w:abstractNumId w:val="28"/>
  </w:num>
  <w:num w:numId="12" w16cid:durableId="2029018426">
    <w:abstractNumId w:val="16"/>
  </w:num>
  <w:num w:numId="13" w16cid:durableId="1793598581">
    <w:abstractNumId w:val="22"/>
  </w:num>
  <w:num w:numId="14" w16cid:durableId="2113744073">
    <w:abstractNumId w:val="5"/>
  </w:num>
  <w:num w:numId="15" w16cid:durableId="1401059871">
    <w:abstractNumId w:val="24"/>
  </w:num>
  <w:num w:numId="16" w16cid:durableId="205721735">
    <w:abstractNumId w:val="15"/>
  </w:num>
  <w:num w:numId="17" w16cid:durableId="1070158808">
    <w:abstractNumId w:val="12"/>
  </w:num>
  <w:num w:numId="18" w16cid:durableId="1567186463">
    <w:abstractNumId w:val="20"/>
  </w:num>
  <w:num w:numId="19" w16cid:durableId="19354960">
    <w:abstractNumId w:val="9"/>
  </w:num>
  <w:num w:numId="20" w16cid:durableId="496700305">
    <w:abstractNumId w:val="11"/>
  </w:num>
  <w:num w:numId="21" w16cid:durableId="1676880514">
    <w:abstractNumId w:val="31"/>
  </w:num>
  <w:num w:numId="22" w16cid:durableId="1705328301">
    <w:abstractNumId w:val="29"/>
  </w:num>
  <w:num w:numId="23" w16cid:durableId="2144804812">
    <w:abstractNumId w:val="14"/>
  </w:num>
  <w:num w:numId="24" w16cid:durableId="397482132">
    <w:abstractNumId w:val="4"/>
  </w:num>
  <w:num w:numId="25" w16cid:durableId="1345286757">
    <w:abstractNumId w:val="6"/>
  </w:num>
  <w:num w:numId="26" w16cid:durableId="2021420890">
    <w:abstractNumId w:val="3"/>
  </w:num>
  <w:num w:numId="27" w16cid:durableId="37945836">
    <w:abstractNumId w:val="8"/>
  </w:num>
  <w:num w:numId="28" w16cid:durableId="1511523890">
    <w:abstractNumId w:val="13"/>
  </w:num>
  <w:num w:numId="29" w16cid:durableId="1200706350">
    <w:abstractNumId w:val="18"/>
  </w:num>
  <w:num w:numId="30" w16cid:durableId="913662728">
    <w:abstractNumId w:val="27"/>
  </w:num>
  <w:num w:numId="31" w16cid:durableId="1594043844">
    <w:abstractNumId w:val="2"/>
  </w:num>
  <w:num w:numId="32" w16cid:durableId="189392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27524"/>
    <w:rsid w:val="005B199B"/>
    <w:rsid w:val="005F3F35"/>
    <w:rsid w:val="00640DE4"/>
    <w:rsid w:val="00642DEF"/>
    <w:rsid w:val="0065425C"/>
    <w:rsid w:val="00672F65"/>
    <w:rsid w:val="006C113D"/>
    <w:rsid w:val="006C37AB"/>
    <w:rsid w:val="006C5DF6"/>
    <w:rsid w:val="006E789D"/>
    <w:rsid w:val="006F5F7E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06097"/>
    <w:rsid w:val="00D163E7"/>
    <w:rsid w:val="00D22BB3"/>
    <w:rsid w:val="00D45ECB"/>
    <w:rsid w:val="00D54A9A"/>
    <w:rsid w:val="00D730A5"/>
    <w:rsid w:val="00DE76FE"/>
    <w:rsid w:val="00E03FC3"/>
    <w:rsid w:val="00E35C34"/>
    <w:rsid w:val="00E635F1"/>
    <w:rsid w:val="00E92364"/>
    <w:rsid w:val="00EA31BB"/>
    <w:rsid w:val="00EA5B41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9DAB2E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6</cp:revision>
  <dcterms:created xsi:type="dcterms:W3CDTF">2026-03-03T04:16:00Z</dcterms:created>
  <dcterms:modified xsi:type="dcterms:W3CDTF">2026-04-16T07:55:00Z</dcterms:modified>
</cp:coreProperties>
</file>