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fd50c3b9b4778d90c67e04ab14df5e2c78f18a"/>
    <w:p>
      <w:pPr>
        <w:pStyle w:val="1"/>
        <w:bidi w:val="1"/>
        <w:jc w:val="right"/>
      </w:pPr>
      <w:r>
        <w:rPr>
          <w:rFonts w:cs="Arial" w:ascii="Arial" w:hAnsi="Arial"/>
          <w:rtl/>
        </w:rPr>
        <w:t xml:space="preserve">تقرير تقييم الفجوات والتدقيق الداخلي الاستباقي (Gap Analysis Report)</w:t>
      </w:r>
    </w:p>
    <w:p>
      <w:pPr>
        <w:pStyle w:val="FirstParagraph"/>
        <w:bidi w:val="1"/>
        <w:jc w:val="right"/>
      </w:pPr>
      <w:r>
        <w:rPr>
          <w:rFonts w:cs="Arial" w:ascii="Arial" w:hAnsi="Arial"/>
          <w:rtl/>
        </w:rPr>
        <w:t xml:space="preserve">الإصدار المرجعي لمجلس الإدارة - استنادا إلى مسودة معيار الآيزو الرقمية</w:t>
      </w:r>
    </w:p>
    <w:p>
      <w:pPr>
        <w:pStyle w:val="BodyText"/>
        <w:bidi w:val="1"/>
        <w:jc w:val="right"/>
      </w:pPr>
      <w:r>
        <w:rPr>
          <w:rFonts w:cs="Arial" w:ascii="Arial" w:hAnsi="Arial"/>
          <w:rtl/>
        </w:rPr>
        <w:t xml:space="preserve">تم إجراء هذا التقييم المنهجي (المبني على سيناريو تدقيق داخلي افتراضي) للوقوف على مستوى النضج المؤسسي وجاهزية</w:t>
      </w:r>
      <w:r>
        <w:rPr>
          <w:rFonts w:cs="Arial" w:ascii="Arial" w:hAnsi="Arial"/>
          <w:rtl/>
        </w:rPr>
        <w:t xml:space="preserve"> </w:t>
      </w:r>
      <w:r>
        <w:rPr>
          <w:rFonts w:cs="Arial" w:ascii="Arial" w:hAnsi="Arial"/>
          <w:rtl/>
        </w:rPr>
        <w:t xml:space="preserve">“جمعية البر بصبيا”</w:t>
      </w:r>
      <w:r>
        <w:rPr>
          <w:rFonts w:cs="Arial" w:ascii="Arial" w:hAnsi="Arial"/>
          <w:rtl/>
        </w:rPr>
        <w:t xml:space="preserve"> </w:t>
      </w:r>
      <w:r>
        <w:rPr>
          <w:rFonts w:cs="Arial" w:ascii="Arial" w:hAnsi="Arial"/>
          <w:rtl/>
        </w:rPr>
        <w:t xml:space="preserve">للتدقيق الخارجي. التقرير يفند حيود الأداء (Non-conformities) بمستوياتها الصارمة ويقترح تدابير إصلاحية (Corrective Measures) متأصلة ضمن البنية الأتمتة لـنظام (رافد التقني).</w:t>
      </w:r>
    </w:p>
    <w:p>
      <w:pPr>
        <w:bidi w:val="1"/>
        <w:jc w:val="right"/>
      </w:pPr>
      <w:r>
        <w:rPr>
          <w:rFonts w:cs="Arial" w:ascii="Arial" w:hAnsi="Arial"/>
          <w:rtl/>
        </w:rPr>
        <w:pict>
          <v:rect style="width:0;height:1.5pt" o:hralign="center" o:hrstd="t" o:hr="t"/>
        </w:pict>
      </w:r>
    </w:p>
    <w:bookmarkStart w:id="18" w:name="X21eee9e0820061e1d5d43e20e151cb24fe5fa32"/>
    <w:p>
      <w:pPr>
        <w:pStyle w:val="2"/>
        <w:bidi w:val="1"/>
        <w:jc w:val="right"/>
      </w:pPr>
      <w:r>
        <w:rPr>
          <w:rFonts w:cs="Arial" w:ascii="Arial" w:hAnsi="Arial"/>
          <w:rtl/>
        </w:rPr>
        <w:t xml:space="preserve">القسم الأول: حالات عدم المطابقة العظمى (Major Non-Conformities)</w:t>
      </w:r>
    </w:p>
    <w:p>
      <w:pPr>
        <w:pStyle w:val="FirstParagraph"/>
        <w:bidi w:val="1"/>
        <w:jc w:val="right"/>
      </w:pPr>
      <w:r>
        <w:rPr>
          <w:rFonts w:cs="Arial" w:ascii="Arial" w:hAnsi="Arial"/>
          <w:rtl/>
        </w:rPr>
        <w:t xml:space="preserve">(يجب اتخاذ إجراءات تصحيحية جذرية فورية كشرط مسبق لنجاح منح الشهادة)</w:t>
      </w:r>
    </w:p>
    <w:bookmarkStart w:id="16" w:name="X661528c09699ace42883c2097d560686abab21b"/>
    <w:p>
      <w:pPr>
        <w:pStyle w:val="3"/>
        <w:bidi w:val="1"/>
        <w:jc w:val="right"/>
      </w:pPr>
      <w:r>
        <w:rPr>
          <w:rFonts w:cs="Arial" w:ascii="Arial" w:hAnsi="Arial"/>
          <w:rtl/>
        </w:rPr>
        <w:t xml:space="preserve">1. حيود في البند (7.3) - التوعية والثقافة المؤسسية</w:t>
      </w:r>
    </w:p>
    <w:p>
      <w:pPr>
        <w:pStyle w:val="Compact"/>
        <w:numPr>
          <w:ilvl w:val="0"/>
          <w:numId w:val="1001"/>
        </w:numPr>
        <w:bidi w:val="1"/>
        <w:jc w:val="right"/>
      </w:pPr>
      <w:r>
        <w:rPr>
          <w:rFonts w:cs="Arial" w:ascii="Arial" w:hAnsi="Arial"/>
          <w:rtl/>
        </w:rPr>
        <w:t xml:space="preserve">توصيف الحيود: غياب التبني الفعلي والتطبيق السلوكي لمعايير الجودة لدى طواقم التنفيذ، مما يدلل على أن سياسات الآيزو محصورة كتنظير وثائقي في الإدارة العليا ولم تعمم بشكل كاف ومفهوم.</w:t>
      </w:r>
    </w:p>
    <w:p>
      <w:pPr>
        <w:pStyle w:val="Compact"/>
        <w:numPr>
          <w:ilvl w:val="0"/>
          <w:numId w:val="1001"/>
        </w:numPr>
        <w:bidi w:val="1"/>
        <w:jc w:val="right"/>
      </w:pPr>
      <w:r>
        <w:rPr>
          <w:rFonts w:cs="Arial" w:ascii="Arial" w:hAnsi="Arial"/>
          <w:rtl/>
        </w:rPr>
        <w:t xml:space="preserve">أدلة الإثبات (Objective Evidence): المقابلات الافتراضية مع الموظفين تظهر نقصا في الوعي حيال سياسة الجودة، وغياب المعرفة بأهداف الجودة الخاصة بكل إدارة.</w:t>
      </w:r>
    </w:p>
    <w:p>
      <w:pPr>
        <w:pStyle w:val="Compact"/>
        <w:numPr>
          <w:ilvl w:val="0"/>
          <w:numId w:val="1001"/>
        </w:numPr>
        <w:bidi w:val="1"/>
        <w:jc w:val="right"/>
      </w:pPr>
      <w:r>
        <w:rPr>
          <w:rFonts w:cs="Arial" w:ascii="Arial" w:hAnsi="Arial"/>
          <w:rtl/>
        </w:rPr>
        <w:t xml:space="preserve">الإجراء التصحيحي الإلزامي : الإطلاق الإلزامي لحملة مكثفة للتوعية الثقافية (وهو ما تم بابتكار مصفوفة الـ 200 رسالة توعوية اليومية)، بالإضافة لاعتماد وإرسال وثيقة</w:t>
      </w:r>
      <w:r>
        <w:rPr>
          <w:rFonts w:cs="Arial" w:ascii="Arial" w:hAnsi="Arial"/>
          <w:rtl/>
        </w:rPr>
        <w:t xml:space="preserve"> </w:t>
      </w:r>
      <w:r>
        <w:rPr>
          <w:rFonts w:cs="Arial" w:ascii="Arial" w:hAnsi="Arial"/>
          <w:rtl/>
        </w:rPr>
        <w:t xml:space="preserve">“الدليل الاسترشادي الموجز”</w:t>
      </w:r>
      <w:r>
        <w:rPr>
          <w:rFonts w:cs="Arial" w:ascii="Arial" w:hAnsi="Arial"/>
          <w:rtl/>
        </w:rPr>
        <w:t xml:space="preserve"> </w:t>
      </w:r>
      <w:r>
        <w:rPr>
          <w:rFonts w:cs="Arial" w:ascii="Arial" w:hAnsi="Arial"/>
          <w:rtl/>
        </w:rPr>
        <w:t xml:space="preserve">لكافة الموظفين والحرص على اختبار استيعابهم له بمؤشرات واضحة.</w:t>
      </w:r>
    </w:p>
    <w:bookmarkEnd w:id="16"/>
    <w:bookmarkStart w:id="17" w:name="Xa9fac0d4dbba7a3d7039ab968294b25d6ce1a28"/>
    <w:p>
      <w:pPr>
        <w:pStyle w:val="3"/>
        <w:bidi w:val="1"/>
        <w:jc w:val="right"/>
      </w:pPr>
      <w:r>
        <w:rPr>
          <w:rFonts w:cs="Arial" w:ascii="Arial" w:hAnsi="Arial"/>
          <w:rtl/>
        </w:rPr>
        <w:t xml:space="preserve">2. حيود في البند (7.5) - ضبط المعلومات الموثقة والممارسات الموازية (Parallel Systems)</w:t>
      </w:r>
    </w:p>
    <w:p>
      <w:pPr>
        <w:pStyle w:val="Compact"/>
        <w:numPr>
          <w:ilvl w:val="0"/>
          <w:numId w:val="1002"/>
        </w:numPr>
        <w:bidi w:val="1"/>
        <w:jc w:val="right"/>
      </w:pPr>
      <w:r>
        <w:rPr>
          <w:rFonts w:cs="Arial" w:ascii="Arial" w:hAnsi="Arial"/>
          <w:rtl/>
        </w:rPr>
        <w:t xml:space="preserve">توصيف الحيود: لوحظ وجود بعض الكوادر تعتمد على أدوات ظل غير رسمية وغير مدرجة بنطاق الآيزو الرقمي (مثل أوراق مطبوعة، جداول إكسل خاصة) لتمشية بعض العمليات، جنبا إلى جنب مع نظام رافد.</w:t>
      </w:r>
    </w:p>
    <w:p>
      <w:pPr>
        <w:pStyle w:val="Compact"/>
        <w:numPr>
          <w:ilvl w:val="0"/>
          <w:numId w:val="1002"/>
        </w:numPr>
        <w:bidi w:val="1"/>
        <w:jc w:val="right"/>
      </w:pPr>
      <w:r>
        <w:rPr>
          <w:rFonts w:cs="Arial" w:ascii="Arial" w:hAnsi="Arial"/>
          <w:rtl/>
        </w:rPr>
        <w:t xml:space="preserve">أدلة الإثبات (Objective Evidence): رصد وجود نماذج ورقية في ملفات أرشيف الإدارات تخص معاملات يمكن إدخالها مباشرة في النظام.</w:t>
      </w:r>
    </w:p>
    <w:p>
      <w:pPr>
        <w:pStyle w:val="Compact"/>
        <w:numPr>
          <w:ilvl w:val="0"/>
          <w:numId w:val="1002"/>
        </w:numPr>
        <w:bidi w:val="1"/>
        <w:jc w:val="right"/>
      </w:pPr>
      <w:r>
        <w:rPr>
          <w:rFonts w:cs="Arial" w:ascii="Arial" w:hAnsi="Arial"/>
          <w:rtl/>
        </w:rPr>
        <w:t xml:space="preserve">الإجراء التصحيحي الإلزامي : إصدار تعميم تنفيذي حازم (إنفاذ سياسة التوثيق الرشيق ) يجرم العمل بالنظم الموازية ويعتبر المخرجات غير الرقمية لاغية قانونيا ومؤسسيا ولا يترتب عليها أي التزام مالي أو إداري.</w:t>
      </w:r>
    </w:p>
    <w:p>
      <w:pPr>
        <w:bidi w:val="1"/>
        <w:jc w:val="right"/>
      </w:pPr>
      <w:r>
        <w:rPr>
          <w:rFonts w:cs="Arial" w:ascii="Arial" w:hAnsi="Arial"/>
          <w:rtl/>
        </w:rPr>
        <w:pict>
          <v:rect style="width:0;height:1.5pt" o:hralign="center" o:hrstd="t" o:hr="t"/>
        </w:pict>
      </w:r>
    </w:p>
    <w:bookmarkEnd w:id="17"/>
    <w:bookmarkEnd w:id="18"/>
    <w:bookmarkStart w:id="22" w:name="Xc2e4aeb2985b3a5c549ad8ac8e1eddc40f4430f"/>
    <w:p>
      <w:pPr>
        <w:pStyle w:val="2"/>
        <w:bidi w:val="1"/>
        <w:jc w:val="right"/>
      </w:pPr>
      <w:r>
        <w:rPr>
          <w:rFonts w:cs="Arial" w:ascii="Arial" w:hAnsi="Arial"/>
          <w:rtl/>
        </w:rPr>
        <w:t xml:space="preserve">القسم الثاني: حالات عدم المطابقة الصغرى (Minor Non-Conformities / Areas for Improvement)</w:t>
      </w:r>
    </w:p>
    <w:p>
      <w:pPr>
        <w:pStyle w:val="FirstParagraph"/>
        <w:bidi w:val="1"/>
        <w:jc w:val="right"/>
      </w:pPr>
      <w:r>
        <w:rPr>
          <w:rFonts w:cs="Arial" w:ascii="Arial" w:hAnsi="Arial"/>
          <w:rtl/>
        </w:rPr>
        <w:t xml:space="preserve">(تعالج بحزمة تحسينات تقنية وتشغيلية وتعتبر مجالا لرفع النضج المؤسسي)</w:t>
      </w:r>
    </w:p>
    <w:bookmarkStart w:id="19" w:name="X8f9ac981ee28a52022567678e3a910b25979c8e"/>
    <w:p>
      <w:pPr>
        <w:pStyle w:val="3"/>
        <w:bidi w:val="1"/>
        <w:jc w:val="right"/>
      </w:pPr>
      <w:r>
        <w:rPr>
          <w:rFonts w:cs="Arial" w:ascii="Arial" w:hAnsi="Arial"/>
          <w:rtl/>
        </w:rPr>
        <w:t xml:space="preserve">1. حيود في البند (9.2) - جاهزية نظام الرقابة والتدقيق (صعوبة تتبع النماذج الاسترشادية)</w:t>
      </w:r>
    </w:p>
    <w:p>
      <w:pPr>
        <w:pStyle w:val="Compact"/>
        <w:numPr>
          <w:ilvl w:val="0"/>
          <w:numId w:val="1003"/>
        </w:numPr>
        <w:bidi w:val="1"/>
        <w:jc w:val="right"/>
      </w:pPr>
      <w:r>
        <w:rPr>
          <w:rFonts w:cs="Arial" w:ascii="Arial" w:hAnsi="Arial"/>
          <w:rtl/>
        </w:rPr>
        <w:t xml:space="preserve">توصيف الحيود: افتقار البنية الورقية/الرقمية سابقا لهيكلة أرشيفية دقيقة لمعايير والوثائق الموحدة مما يصعب سيرورة التدقيق والمراجعة.</w:t>
      </w:r>
    </w:p>
    <w:p>
      <w:pPr>
        <w:pStyle w:val="Compact"/>
        <w:numPr>
          <w:ilvl w:val="0"/>
          <w:numId w:val="1003"/>
        </w:numPr>
        <w:bidi w:val="1"/>
        <w:jc w:val="right"/>
      </w:pPr>
      <w:r>
        <w:rPr>
          <w:rFonts w:cs="Arial" w:ascii="Arial" w:hAnsi="Arial"/>
          <w:rtl/>
        </w:rPr>
        <w:t xml:space="preserve">الإجراء التصحيحي المتخذ: (تم إغلاق هذه الحالة) وذلك بهيكلة وحوكمة كافة الوثائق الـ 21 وثيقة عبر هيكل شجري قياسي صريح يعتمد (السياسات، الإجراءات، التدقيق، المنشورات)، وتحويله إلى صيغ معتمدة وغير قابلة للعبث (Docx الموحد).</w:t>
      </w:r>
    </w:p>
    <w:bookmarkEnd w:id="19"/>
    <w:bookmarkStart w:id="20" w:name="X1d313f82be6a3956b3ce877e7b8828900522ed2"/>
    <w:p>
      <w:pPr>
        <w:pStyle w:val="3"/>
        <w:bidi w:val="1"/>
        <w:jc w:val="right"/>
      </w:pPr>
      <w:r>
        <w:rPr>
          <w:rFonts w:cs="Arial" w:ascii="Arial" w:hAnsi="Arial"/>
          <w:rtl/>
        </w:rPr>
        <w:t xml:space="preserve">2. حيود في البند (8.7) - ضبط المخرجات غير المطابقة (توثيق الاستثناءات)</w:t>
      </w:r>
    </w:p>
    <w:p>
      <w:pPr>
        <w:pStyle w:val="Compact"/>
        <w:numPr>
          <w:ilvl w:val="0"/>
          <w:numId w:val="1004"/>
        </w:numPr>
        <w:bidi w:val="1"/>
        <w:jc w:val="right"/>
      </w:pPr>
      <w:r>
        <w:rPr>
          <w:rFonts w:cs="Arial" w:ascii="Arial" w:hAnsi="Arial"/>
          <w:rtl/>
        </w:rPr>
        <w:t xml:space="preserve">توصيف الحيود: عند تمرير معاملات ذات طبيعة إنسانية استثنائية وإجبار نظام الـ Workflow على القبول المؤقت لمسار المعاملة (Bypass).</w:t>
      </w:r>
    </w:p>
    <w:p>
      <w:pPr>
        <w:pStyle w:val="Compact"/>
        <w:numPr>
          <w:ilvl w:val="0"/>
          <w:numId w:val="1004"/>
        </w:numPr>
        <w:bidi w:val="1"/>
        <w:jc w:val="right"/>
      </w:pPr>
      <w:r>
        <w:rPr>
          <w:rFonts w:cs="Arial" w:ascii="Arial" w:hAnsi="Arial"/>
          <w:rtl/>
        </w:rPr>
        <w:t xml:space="preserve">الإجراء التصحيحي المطلوب: تضمين نافذة إلزامية لا تقبل الإغلاق (Mandatory Exception Justification Field) لمدخلات الإدارات على نظام (رافد) تسجل حتميا التبرير الإداري لتخطي المعيار المرجعي وحفظ ذلك آليا بخاصية المساءلة الزمنية (Audit Trail) لضمان الشفافية.</w:t>
      </w:r>
    </w:p>
    <w:bookmarkEnd w:id="20"/>
    <w:bookmarkStart w:id="21" w:name="X817380187ecf2a2b5914584c36fb9d44b93c16e"/>
    <w:p>
      <w:pPr>
        <w:pStyle w:val="3"/>
        <w:bidi w:val="1"/>
        <w:jc w:val="right"/>
      </w:pPr>
      <w:r>
        <w:rPr>
          <w:rFonts w:cs="Arial" w:ascii="Arial" w:hAnsi="Arial"/>
          <w:rtl/>
        </w:rPr>
        <w:t xml:space="preserve">3. حيود في البند (7.1.6) - المعرفة التنظيمية وتوجيه الإرشاد التشغيلي</w:t>
      </w:r>
    </w:p>
    <w:p>
      <w:pPr>
        <w:pStyle w:val="Compact"/>
        <w:numPr>
          <w:ilvl w:val="0"/>
          <w:numId w:val="1005"/>
        </w:numPr>
        <w:bidi w:val="1"/>
        <w:jc w:val="right"/>
      </w:pPr>
      <w:r>
        <w:rPr>
          <w:rFonts w:cs="Arial" w:ascii="Arial" w:hAnsi="Arial"/>
          <w:rtl/>
        </w:rPr>
        <w:t xml:space="preserve">توصيف الحيود: الاعتماد على الوعظ الإداري الشفوي بدلا من الإرشاد التفاعلي لفهم وتطبيق نظام (رافد).</w:t>
      </w:r>
    </w:p>
    <w:p>
      <w:pPr>
        <w:pStyle w:val="Compact"/>
        <w:numPr>
          <w:ilvl w:val="0"/>
          <w:numId w:val="1005"/>
        </w:numPr>
        <w:bidi w:val="1"/>
        <w:jc w:val="right"/>
      </w:pPr>
      <w:r>
        <w:rPr>
          <w:rFonts w:cs="Arial" w:ascii="Arial" w:hAnsi="Arial"/>
          <w:rtl/>
        </w:rPr>
        <w:t xml:space="preserve">الإجراء التصحيحي المطلوب: تكليف قطاع الاتصال وتقنية المعلومات بتهيئة سلسلة</w:t>
      </w:r>
      <w:r>
        <w:rPr>
          <w:rFonts w:cs="Arial" w:ascii="Arial" w:hAnsi="Arial"/>
          <w:rtl/>
        </w:rPr>
        <w:t xml:space="preserve"> </w:t>
      </w:r>
      <w:r>
        <w:rPr>
          <w:rFonts w:cs="Arial" w:ascii="Arial" w:hAnsi="Arial"/>
          <w:rtl/>
        </w:rPr>
        <w:t xml:space="preserve">“أدلة مرئية تفاعلية بصرية”</w:t>
      </w:r>
      <w:r>
        <w:rPr>
          <w:rFonts w:cs="Arial" w:ascii="Arial" w:hAnsi="Arial"/>
          <w:rtl/>
        </w:rPr>
        <w:t xml:space="preserve"> </w:t>
      </w:r>
      <w:r>
        <w:rPr>
          <w:rFonts w:cs="Arial" w:ascii="Arial" w:hAnsi="Arial"/>
          <w:rtl/>
        </w:rPr>
        <w:t xml:space="preserve">تدمج مباشرة داخل شاشات نظام (رافد)، لتصبح الميسر الوحيد لنقل المعرفة التنظيمية.</w:t>
      </w:r>
    </w:p>
    <w:p>
      <w:pPr>
        <w:bidi w:val="1"/>
        <w:jc w:val="right"/>
      </w:pPr>
      <w:r>
        <w:rPr>
          <w:rFonts w:cs="Arial" w:ascii="Arial" w:hAnsi="Arial"/>
          <w:rtl/>
        </w:rPr>
        <w:pict>
          <v:rect style="width:0;height:1.5pt" o:hralign="center" o:hrstd="t" o:hr="t"/>
        </w:pict>
      </w:r>
    </w:p>
    <w:p>
      <w:pPr>
        <w:pStyle w:val="FirstParagraph"/>
        <w:bidi w:val="1"/>
        <w:jc w:val="right"/>
      </w:pPr>
      <w:r>
        <w:rPr>
          <w:rFonts w:cs="Arial" w:ascii="Arial" w:hAnsi="Arial"/>
          <w:rtl/>
        </w:rPr>
        <w:t xml:space="preserve">التحليل النهائي من إدارة التطوير المؤسسي:</w:t>
      </w:r>
      <w:r>
        <w:rPr>
          <w:rFonts w:cs="Arial" w:ascii="Arial" w:hAnsi="Arial"/>
          <w:rtl/>
        </w:rPr>
        <w:t xml:space="preserve"> </w:t>
      </w:r>
      <w:r>
        <w:rPr>
          <w:rFonts w:cs="Arial" w:ascii="Arial" w:hAnsi="Arial"/>
          <w:rtl/>
        </w:rPr>
        <w:t xml:space="preserve">رغم وجود هذه الفجوات التوثيقية والثقافية، إلا أن الأساس الرقمي والبنية الخوارزمية المركزية لجمعية البر بصبيا (متمثلة في قوة نظام رافد) تضمن وتكفل تسريع وتيرة تصحيح الانحرافات التشغيلية بفاعلية تفوق أنظمة المؤسسات التقليدية الكبرى، وبمجرد إرساء الحزم التوعوية وتفعيل التطوير المبرمج ستكون الجمعية مرشحة لنيل أسمى درجات الاعتراف الدولي بجدراة الجودة.</w:t>
      </w:r>
    </w:p>
    <w:bookmarkEnd w:id="21"/>
    <w:bookmarkEnd w:id="22"/>
    <w:bookmarkEnd w:id="23"/>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