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2ae901b644100e8207880d362918f99f72cf73"/>
    <w:p>
      <w:pPr>
        <w:pStyle w:val="1"/>
        <w:bidi w:val="1"/>
        <w:jc w:val="right"/>
      </w:pPr>
      <w:r>
        <w:rPr>
          <w:rFonts w:cs="Arial" w:ascii="Arial" w:hAnsi="Arial"/>
          <w:rtl/>
        </w:rPr>
        <w:t xml:space="preserve">سجل المخاطر والفرص المؤسسية (Corporate Risk &amp; Opportunity Register)</w:t>
      </w:r>
    </w:p>
    <w:p>
      <w:pPr>
        <w:pStyle w:val="FirstParagraph"/>
        <w:bidi w:val="1"/>
        <w:jc w:val="right"/>
      </w:pPr>
      <w:r>
        <w:rPr>
          <w:rFonts w:cs="Arial" w:ascii="Arial" w:hAnsi="Arial"/>
          <w:rtl/>
        </w:rPr>
        <w:t xml:space="preserve">مرجع استرشادي تطبيقي لمعيار (الآيزو - البند 6.1) - جمعية البر بصبيا</w:t>
      </w:r>
    </w:p>
    <w:p>
      <w:pPr>
        <w:pStyle w:val="BodyText"/>
        <w:bidi w:val="1"/>
        <w:jc w:val="right"/>
      </w:pPr>
      <w:r>
        <w:rPr>
          <w:rFonts w:cs="Arial" w:ascii="Arial" w:hAnsi="Arial"/>
          <w:rtl/>
        </w:rPr>
        <w:t xml:space="preserve">تمثل هذه الوثيقة إطارا نموذجيا لتحليل، تقييم، وتخفيف المخاطر التشغيلية والاستراتيجية للجمعية، إضافة لاقتناص فرص التحسين المستدام، مع الاعتماد المرجعي التام على حوكمة البنية التحتية لنظام (رافد التقني). تحتسب مصفوفة المخاطر بناء على حاصل ضرب:</w:t>
      </w:r>
      <w:r>
        <w:rPr>
          <w:rFonts w:cs="Arial" w:ascii="Arial" w:hAnsi="Arial"/>
          <w:rtl/>
        </w:rPr>
        <w:t xml:space="preserve"> </w:t>
      </w:r>
      <w:r>
        <w:rPr>
          <w:rFonts w:cs="Arial" w:ascii="Arial" w:hAnsi="Arial"/>
          <w:rStyle w:val="VerbatimChar"/>
          <w:rtl/>
        </w:rPr>
        <w:t xml:space="preserve">[احتمالية الحدوث (1-5)] × [شدة التأثير (1-5)] = مؤشر جسامة الخطر</w:t>
      </w:r>
      <w:r>
        <w:rPr>
          <w:rFonts w:cs="Arial" w:ascii="Arial" w:hAnsi="Arial"/>
          <w:rtl/>
        </w:rPr>
        <w:t xml:space="preserve">.</w:t>
      </w:r>
    </w:p>
    <w:p>
      <w:pPr>
        <w:bidi w:val="1"/>
        <w:jc w:val="right"/>
      </w:pPr>
      <w:r>
        <w:rPr>
          <w:rFonts w:cs="Arial" w:ascii="Arial" w:hAnsi="Arial"/>
          <w:rtl/>
        </w:rPr>
        <w:pict>
          <v:rect style="width:0;height:1.5pt" o:hralign="center" o:hrstd="t" o:hr="t"/>
        </w:pict>
      </w:r>
    </w:p>
    <w:bookmarkStart w:id="20" w:name="المبحث-الأول-سجل-المخاطر"/>
    <w:p>
      <w:pPr>
        <w:pStyle w:val="2"/>
        <w:bidi w:val="1"/>
        <w:jc w:val="right"/>
      </w:pPr>
      <w:r>
        <w:rPr>
          <w:rFonts w:cs="Arial" w:ascii="Arial" w:hAnsi="Arial"/>
          <w:rtl/>
        </w:rPr>
        <w:t xml:space="preserve">المبحث الأول: سجل المخاطر</w:t>
      </w:r>
    </w:p>
    <w:bookmarkStart w:id="16" w:name="المخاطر-المالية-financial-risks"/>
    <w:p>
      <w:pPr>
        <w:pStyle w:val="3"/>
        <w:bidi w:val="1"/>
        <w:jc w:val="right"/>
      </w:pPr>
      <w:r>
        <w:rPr>
          <w:rFonts w:cs="Arial" w:ascii="Arial" w:hAnsi="Arial"/>
          <w:rtl/>
        </w:rPr>
        <w:t xml:space="preserve">1. المخاطر المالية (Financial Risks)</w:t>
      </w:r>
    </w:p>
    <w:p>
      <w:pPr>
        <w:pStyle w:val="Compact"/>
        <w:numPr>
          <w:ilvl w:val="0"/>
          <w:numId w:val="1001"/>
        </w:numPr>
        <w:bidi w:val="1"/>
        <w:jc w:val="right"/>
      </w:pPr>
      <w:r>
        <w:rPr>
          <w:rFonts w:cs="Arial" w:ascii="Arial" w:hAnsi="Arial"/>
          <w:rtl/>
        </w:rPr>
        <w:t xml:space="preserve">وصف الخطر المحتمل: تذبذب التدفقات النقدية (Cash Flow Volatility) نتيجة تراجع حاد في تبرعات كبار المانحين أو انقطاع مفاجئ للمنح الحكومية، مما يهدد النفقات التشغيلية واستمرارية المشاريع الحيوية.</w:t>
      </w:r>
    </w:p>
    <w:p>
      <w:pPr>
        <w:pStyle w:val="Compact"/>
        <w:numPr>
          <w:ilvl w:val="0"/>
          <w:numId w:val="1001"/>
        </w:numPr>
        <w:bidi w:val="1"/>
        <w:jc w:val="right"/>
      </w:pPr>
      <w:r>
        <w:rPr>
          <w:rFonts w:cs="Arial" w:ascii="Arial" w:hAnsi="Arial"/>
          <w:rtl/>
        </w:rPr>
        <w:t xml:space="preserve">التقييم الكمي: احتمالية (3) × تأثير (5) = مؤشر الجسامة (15) [خطر مرتفع].</w:t>
      </w:r>
    </w:p>
    <w:p>
      <w:pPr>
        <w:pStyle w:val="Compact"/>
        <w:numPr>
          <w:ilvl w:val="0"/>
          <w:numId w:val="1001"/>
        </w:numPr>
        <w:bidi w:val="1"/>
        <w:jc w:val="right"/>
      </w:pPr>
      <w:r>
        <w:rPr>
          <w:rFonts w:cs="Arial" w:ascii="Arial" w:hAnsi="Arial"/>
          <w:rtl/>
        </w:rPr>
        <w:t xml:space="preserve">خطة المعالجة والتخفيف (Mitigation Plan):</w:t>
      </w:r>
    </w:p>
    <w:p>
      <w:pPr>
        <w:pStyle w:val="Compact"/>
        <w:numPr>
          <w:ilvl w:val="0"/>
          <w:numId w:val="1001"/>
        </w:numPr>
        <w:bidi w:val="1"/>
        <w:jc w:val="right"/>
      </w:pPr>
      <w:r>
        <w:rPr>
          <w:rFonts w:cs="Arial" w:ascii="Arial" w:hAnsi="Arial"/>
          <w:rtl/>
        </w:rPr>
        <w:t xml:space="preserve">استحداث أصول استثمارية (أوقاف تابعة للجمعية) لتوليد إيرادات تشغيلية ومستدامة غير مقيدة.</w:t>
      </w:r>
    </w:p>
    <w:p>
      <w:pPr>
        <w:pStyle w:val="Compact"/>
        <w:numPr>
          <w:ilvl w:val="0"/>
          <w:numId w:val="1001"/>
        </w:numPr>
        <w:bidi w:val="1"/>
        <w:jc w:val="right"/>
      </w:pPr>
      <w:r>
        <w:rPr>
          <w:rFonts w:cs="Arial" w:ascii="Arial" w:hAnsi="Arial"/>
          <w:rtl/>
        </w:rPr>
        <w:t xml:space="preserve">تنويع المحفظة التسويقية لاستهداف التبرعات الميكروية (Micro-Donations) عبر الاشتراكات الشهرية الآلية في نظام المتجر الإلكتروني.</w:t>
      </w:r>
    </w:p>
    <w:p>
      <w:pPr>
        <w:pStyle w:val="Compact"/>
        <w:numPr>
          <w:ilvl w:val="0"/>
          <w:numId w:val="1001"/>
        </w:numPr>
        <w:bidi w:val="1"/>
        <w:jc w:val="right"/>
      </w:pPr>
      <w:r>
        <w:rPr>
          <w:rFonts w:cs="Arial" w:ascii="Arial" w:hAnsi="Arial"/>
          <w:rtl/>
        </w:rPr>
        <w:t xml:space="preserve">المالك / المسؤولية: الإدارة التنفيذية / إدارة تنمية الموارد المالية.</w:t>
      </w:r>
    </w:p>
    <w:p>
      <w:pPr>
        <w:pStyle w:val="Compact"/>
        <w:numPr>
          <w:ilvl w:val="0"/>
          <w:numId w:val="1001"/>
        </w:numPr>
        <w:bidi w:val="1"/>
        <w:jc w:val="right"/>
      </w:pPr>
      <w:r>
        <w:rPr>
          <w:rFonts w:cs="Arial" w:ascii="Arial" w:hAnsi="Arial"/>
          <w:rtl/>
        </w:rPr>
        <w:t xml:space="preserve">حالة الخطر الحالية (Status): 🟡 قيد المتابعة.</w:t>
      </w:r>
    </w:p>
    <w:bookmarkEnd w:id="16"/>
    <w:bookmarkStart w:id="17" w:name="X15cdda25078da2887e9519ac1cb78f0abae9317"/>
    <w:p>
      <w:pPr>
        <w:pStyle w:val="3"/>
        <w:bidi w:val="1"/>
        <w:jc w:val="right"/>
      </w:pPr>
      <w:r>
        <w:rPr>
          <w:rFonts w:cs="Arial" w:ascii="Arial" w:hAnsi="Arial"/>
          <w:rtl/>
        </w:rPr>
        <w:t xml:space="preserve">2. المخاطر التقنية والسيبرانية (Technical &amp; Cyber Risks)</w:t>
      </w:r>
    </w:p>
    <w:p>
      <w:pPr>
        <w:pStyle w:val="Compact"/>
        <w:numPr>
          <w:ilvl w:val="0"/>
          <w:numId w:val="1002"/>
        </w:numPr>
        <w:bidi w:val="1"/>
        <w:jc w:val="right"/>
      </w:pPr>
      <w:r>
        <w:rPr>
          <w:rFonts w:cs="Arial" w:ascii="Arial" w:hAnsi="Arial"/>
          <w:rtl/>
        </w:rPr>
        <w:t xml:space="preserve">وصف الخطر المحتمل: تعرض البنية التحتية السحابية لنظام</w:t>
      </w:r>
      <w:r>
        <w:rPr>
          <w:rFonts w:cs="Arial" w:ascii="Arial" w:hAnsi="Arial"/>
          <w:rtl/>
        </w:rPr>
        <w:t xml:space="preserve"> </w:t>
      </w:r>
      <w:r>
        <w:rPr>
          <w:rFonts w:cs="Arial" w:ascii="Arial" w:hAnsi="Arial"/>
          <w:rtl/>
        </w:rPr>
        <w:t xml:space="preserve">“رافد التقني”</w:t>
      </w:r>
      <w:r>
        <w:rPr>
          <w:rFonts w:cs="Arial" w:ascii="Arial" w:hAnsi="Arial"/>
          <w:rtl/>
        </w:rPr>
        <w:t xml:space="preserve"> </w:t>
      </w:r>
      <w:r>
        <w:rPr>
          <w:rFonts w:cs="Arial" w:ascii="Arial" w:hAnsi="Arial"/>
          <w:rtl/>
        </w:rPr>
        <w:t xml:space="preserve">للتعطل (Downtime) أو اختراق سيبراني، مما يفضي إلى تسريب بيانات المستفيدين الحساسة (خرق لمبدأ السلوك الأخلاقي والسرية).</w:t>
      </w:r>
    </w:p>
    <w:p>
      <w:pPr>
        <w:pStyle w:val="Compact"/>
        <w:numPr>
          <w:ilvl w:val="0"/>
          <w:numId w:val="1002"/>
        </w:numPr>
        <w:bidi w:val="1"/>
        <w:jc w:val="right"/>
      </w:pPr>
      <w:r>
        <w:rPr>
          <w:rFonts w:cs="Arial" w:ascii="Arial" w:hAnsi="Arial"/>
          <w:rtl/>
        </w:rPr>
        <w:t xml:space="preserve">التقييم الكمي: احتمالية (2) × تأثير (5) = مؤشر الجسامة (10) [خطر متوسط].</w:t>
      </w:r>
    </w:p>
    <w:p>
      <w:pPr>
        <w:pStyle w:val="Compact"/>
        <w:numPr>
          <w:ilvl w:val="0"/>
          <w:numId w:val="1002"/>
        </w:numPr>
        <w:bidi w:val="1"/>
        <w:jc w:val="right"/>
      </w:pPr>
      <w:r>
        <w:rPr>
          <w:rFonts w:cs="Arial" w:ascii="Arial" w:hAnsi="Arial"/>
          <w:rtl/>
        </w:rPr>
        <w:t xml:space="preserve">خطة المعالجة والتخفيف (Mitigation Plan):</w:t>
      </w:r>
    </w:p>
    <w:p>
      <w:pPr>
        <w:pStyle w:val="Compact"/>
        <w:numPr>
          <w:ilvl w:val="0"/>
          <w:numId w:val="1002"/>
        </w:numPr>
        <w:bidi w:val="1"/>
        <w:jc w:val="right"/>
      </w:pPr>
      <w:r>
        <w:rPr>
          <w:rFonts w:cs="Arial" w:ascii="Arial" w:hAnsi="Arial"/>
          <w:rtl/>
        </w:rPr>
        <w:t xml:space="preserve">فرض آليات المصادقة الثنائية (2FA) وإدارة الهوية الرقمية لكافة الموظفين بلا استثناء.</w:t>
      </w:r>
    </w:p>
    <w:p>
      <w:pPr>
        <w:pStyle w:val="Compact"/>
        <w:numPr>
          <w:ilvl w:val="0"/>
          <w:numId w:val="1002"/>
        </w:numPr>
        <w:bidi w:val="1"/>
        <w:jc w:val="right"/>
      </w:pPr>
      <w:r>
        <w:rPr>
          <w:rFonts w:cs="Arial" w:ascii="Arial" w:hAnsi="Arial"/>
          <w:rtl/>
        </w:rPr>
        <w:t xml:space="preserve">تفعيل العقد التقني الخاص بالنسخ الاحتياطي التلقائي والجغرافي (Geo-Redundant Cloud Backup) لضمان استمرارية الأعمال (BCP).</w:t>
      </w:r>
    </w:p>
    <w:p>
      <w:pPr>
        <w:pStyle w:val="Compact"/>
        <w:numPr>
          <w:ilvl w:val="0"/>
          <w:numId w:val="1002"/>
        </w:numPr>
        <w:bidi w:val="1"/>
        <w:jc w:val="right"/>
      </w:pPr>
      <w:r>
        <w:rPr>
          <w:rFonts w:cs="Arial" w:ascii="Arial" w:hAnsi="Arial"/>
          <w:rtl/>
        </w:rPr>
        <w:t xml:space="preserve">المالك / المسؤولية: إدارة تقنية المعلومات (IT).</w:t>
      </w:r>
    </w:p>
    <w:p>
      <w:pPr>
        <w:pStyle w:val="Compact"/>
        <w:numPr>
          <w:ilvl w:val="0"/>
          <w:numId w:val="1002"/>
        </w:numPr>
        <w:bidi w:val="1"/>
        <w:jc w:val="right"/>
      </w:pPr>
      <w:r>
        <w:rPr>
          <w:rFonts w:cs="Arial" w:ascii="Arial" w:hAnsi="Arial"/>
          <w:rtl/>
        </w:rPr>
        <w:t xml:space="preserve">حالة الخطر الحالية (Status): 🟢 مغلق / تحت السيطرة.</w:t>
      </w:r>
    </w:p>
    <w:bookmarkEnd w:id="17"/>
    <w:bookmarkStart w:id="18" w:name="المخاطر-التشغيلية-operational-risks"/>
    <w:p>
      <w:pPr>
        <w:pStyle w:val="3"/>
        <w:bidi w:val="1"/>
        <w:jc w:val="right"/>
      </w:pPr>
      <w:r>
        <w:rPr>
          <w:rFonts w:cs="Arial" w:ascii="Arial" w:hAnsi="Arial"/>
          <w:rtl/>
        </w:rPr>
        <w:t xml:space="preserve">3. المخاطر التشغيلية (Operational Risks)</w:t>
      </w:r>
    </w:p>
    <w:p>
      <w:pPr>
        <w:pStyle w:val="Compact"/>
        <w:numPr>
          <w:ilvl w:val="0"/>
          <w:numId w:val="1003"/>
        </w:numPr>
        <w:bidi w:val="1"/>
        <w:jc w:val="right"/>
      </w:pPr>
      <w:r>
        <w:rPr>
          <w:rFonts w:cs="Arial" w:ascii="Arial" w:hAnsi="Arial"/>
          <w:rtl/>
        </w:rPr>
        <w:t xml:space="preserve">وصف الخطر المحتمل: انحراف في تسيير سلاسل الإمداد اللوجستية (مثال: عجز في أسطول التوصيل المبرد لتوزيع السلال الغذائية العينية)، مما يسبب تلف المواد أو الإخفاق في الوفاء باتفاقية مستوى الخدمة المستهدفة (SLA).</w:t>
      </w:r>
    </w:p>
    <w:p>
      <w:pPr>
        <w:pStyle w:val="Compact"/>
        <w:numPr>
          <w:ilvl w:val="0"/>
          <w:numId w:val="1003"/>
        </w:numPr>
        <w:bidi w:val="1"/>
        <w:jc w:val="right"/>
      </w:pPr>
      <w:r>
        <w:rPr>
          <w:rFonts w:cs="Arial" w:ascii="Arial" w:hAnsi="Arial"/>
          <w:rtl/>
        </w:rPr>
        <w:t xml:space="preserve">التقييم الكمي: احتمالية (4) × تأثير (4) = مؤشر الجسامة (16) [خطر مرتفع].</w:t>
      </w:r>
    </w:p>
    <w:p>
      <w:pPr>
        <w:pStyle w:val="Compact"/>
        <w:numPr>
          <w:ilvl w:val="0"/>
          <w:numId w:val="1003"/>
        </w:numPr>
        <w:bidi w:val="1"/>
        <w:jc w:val="right"/>
      </w:pPr>
      <w:r>
        <w:rPr>
          <w:rFonts w:cs="Arial" w:ascii="Arial" w:hAnsi="Arial"/>
          <w:rtl/>
        </w:rPr>
        <w:t xml:space="preserve">خطة المعالجة والتخفيف (Mitigation Plan):</w:t>
      </w:r>
    </w:p>
    <w:p>
      <w:pPr>
        <w:pStyle w:val="Compact"/>
        <w:numPr>
          <w:ilvl w:val="0"/>
          <w:numId w:val="1003"/>
        </w:numPr>
        <w:bidi w:val="1"/>
        <w:jc w:val="right"/>
      </w:pPr>
      <w:r>
        <w:rPr>
          <w:rFonts w:cs="Arial" w:ascii="Arial" w:hAnsi="Arial"/>
          <w:rtl/>
        </w:rPr>
        <w:t xml:space="preserve">إبرام تحالفات استراتيجية مسبقة مع شركات الإمداد اللوجستي المحلية للتدخل العاجل وقت الذروة المواسمية.</w:t>
      </w:r>
    </w:p>
    <w:p>
      <w:pPr>
        <w:pStyle w:val="Compact"/>
        <w:numPr>
          <w:ilvl w:val="0"/>
          <w:numId w:val="1003"/>
        </w:numPr>
        <w:bidi w:val="1"/>
        <w:jc w:val="right"/>
      </w:pPr>
      <w:r>
        <w:rPr>
          <w:rFonts w:cs="Arial" w:ascii="Arial" w:hAnsi="Arial"/>
          <w:rtl/>
        </w:rPr>
        <w:t xml:space="preserve">أتمتة نظام استدعاء وجدولة המתطوعين عبر بوابة رافد لاستقطاب الكوادر في حالات العجز البشري.</w:t>
      </w:r>
    </w:p>
    <w:p>
      <w:pPr>
        <w:pStyle w:val="Compact"/>
        <w:numPr>
          <w:ilvl w:val="0"/>
          <w:numId w:val="1003"/>
        </w:numPr>
        <w:bidi w:val="1"/>
        <w:jc w:val="right"/>
      </w:pPr>
      <w:r>
        <w:rPr>
          <w:rFonts w:cs="Arial" w:ascii="Arial" w:hAnsi="Arial"/>
          <w:rtl/>
        </w:rPr>
        <w:t xml:space="preserve">المالك / المسؤولية: إدارة المشاريع والعمليات التشغيلية.</w:t>
      </w:r>
    </w:p>
    <w:p>
      <w:pPr>
        <w:pStyle w:val="Compact"/>
        <w:numPr>
          <w:ilvl w:val="0"/>
          <w:numId w:val="1003"/>
        </w:numPr>
        <w:bidi w:val="1"/>
        <w:jc w:val="right"/>
      </w:pPr>
      <w:r>
        <w:rPr>
          <w:rFonts w:cs="Arial" w:ascii="Arial" w:hAnsi="Arial"/>
          <w:rtl/>
        </w:rPr>
        <w:t xml:space="preserve">حالة الخطر الحالية (Status): 🔴 **مفتوح (يتطلب تدخلا عاجلا).</w:t>
      </w:r>
    </w:p>
    <w:bookmarkEnd w:id="18"/>
    <w:bookmarkStart w:id="19" w:name="X9a9f101cd65692318251b4326ef94eb71d8e2d7"/>
    <w:p>
      <w:pPr>
        <w:pStyle w:val="3"/>
        <w:bidi w:val="1"/>
        <w:jc w:val="right"/>
      </w:pPr>
      <w:r>
        <w:rPr>
          <w:rFonts w:cs="Arial" w:ascii="Arial" w:hAnsi="Arial"/>
          <w:rtl/>
        </w:rPr>
        <w:t xml:space="preserve">4. مخاطر السمعة والحوكمة (Reputational &amp; Governance Risks)</w:t>
      </w:r>
    </w:p>
    <w:p>
      <w:pPr>
        <w:pStyle w:val="Compact"/>
        <w:numPr>
          <w:ilvl w:val="0"/>
          <w:numId w:val="1004"/>
        </w:numPr>
        <w:bidi w:val="1"/>
        <w:jc w:val="right"/>
      </w:pPr>
      <w:r>
        <w:rPr>
          <w:rFonts w:cs="Arial" w:ascii="Arial" w:hAnsi="Arial"/>
          <w:rtl/>
        </w:rPr>
        <w:t xml:space="preserve">وصف الخطر المحتمل: تشكيك الرأي العام أو جهات الإشراف في نزاهة وحيادية الجمعية نتيجة ادعاءات تخصيص منح لا ترتكز على الاستحقاق العادل للمستفيدين.</w:t>
      </w:r>
    </w:p>
    <w:p>
      <w:pPr>
        <w:pStyle w:val="Compact"/>
        <w:numPr>
          <w:ilvl w:val="0"/>
          <w:numId w:val="1004"/>
        </w:numPr>
        <w:bidi w:val="1"/>
        <w:jc w:val="right"/>
      </w:pPr>
      <w:r>
        <w:rPr>
          <w:rFonts w:cs="Arial" w:ascii="Arial" w:hAnsi="Arial"/>
          <w:rtl/>
        </w:rPr>
        <w:t xml:space="preserve">التقييم الكمي: احتمالية (3) × تأثير (5) = مؤشر الجسامة (15) [خطر مرتفع].</w:t>
      </w:r>
    </w:p>
    <w:p>
      <w:pPr>
        <w:pStyle w:val="Compact"/>
        <w:numPr>
          <w:ilvl w:val="0"/>
          <w:numId w:val="1004"/>
        </w:numPr>
        <w:bidi w:val="1"/>
        <w:jc w:val="right"/>
      </w:pPr>
      <w:r>
        <w:rPr>
          <w:rFonts w:cs="Arial" w:ascii="Arial" w:hAnsi="Arial"/>
          <w:rtl/>
        </w:rPr>
        <w:t xml:space="preserve">خطة المعالجة والتخفيف (Mitigation Plan):</w:t>
      </w:r>
    </w:p>
    <w:p>
      <w:pPr>
        <w:pStyle w:val="Compact"/>
        <w:numPr>
          <w:ilvl w:val="0"/>
          <w:numId w:val="1004"/>
        </w:numPr>
        <w:bidi w:val="1"/>
        <w:jc w:val="right"/>
      </w:pPr>
      <w:r>
        <w:rPr>
          <w:rFonts w:cs="Arial" w:ascii="Arial" w:hAnsi="Arial"/>
          <w:rtl/>
        </w:rPr>
        <w:t xml:space="preserve">تطبيق بروتوكول</w:t>
      </w:r>
      <w:r>
        <w:rPr>
          <w:rFonts w:cs="Arial" w:ascii="Arial" w:hAnsi="Arial"/>
          <w:rtl/>
        </w:rPr>
        <w:t xml:space="preserve"> </w:t>
      </w:r>
      <w:r>
        <w:rPr>
          <w:rFonts w:cs="Arial" w:ascii="Arial" w:hAnsi="Arial"/>
          <w:rtl/>
        </w:rPr>
        <w:t xml:space="preserve">“المعايير المحددة مسبقا”</w:t>
      </w:r>
      <w:r>
        <w:rPr>
          <w:rFonts w:cs="Arial" w:ascii="Arial" w:hAnsi="Arial"/>
          <w:rtl/>
        </w:rPr>
        <w:t xml:space="preserve"> </w:t>
      </w:r>
      <w:r>
        <w:rPr>
          <w:rFonts w:cs="Arial" w:ascii="Arial" w:hAnsi="Arial"/>
          <w:rtl/>
        </w:rPr>
        <w:t xml:space="preserve">لتقييم الحالات وتوزيع الإعانات آليا عبر محرك الجدارة المدمج في نظام (رافد)، مع تقييد صارم للمحسوبية البشرية (Human Bias).</w:t>
      </w:r>
    </w:p>
    <w:p>
      <w:pPr>
        <w:pStyle w:val="Compact"/>
        <w:numPr>
          <w:ilvl w:val="0"/>
          <w:numId w:val="1004"/>
        </w:numPr>
        <w:bidi w:val="1"/>
        <w:jc w:val="right"/>
      </w:pPr>
      <w:r>
        <w:rPr>
          <w:rFonts w:cs="Arial" w:ascii="Arial" w:hAnsi="Arial"/>
          <w:rtl/>
        </w:rPr>
        <w:t xml:space="preserve">إطلاق منصة شفافية إلكترونية علنية تنشر مؤشرات الأداء والإفصاحات المالية بانتظام.</w:t>
      </w:r>
    </w:p>
    <w:p>
      <w:pPr>
        <w:pStyle w:val="Compact"/>
        <w:numPr>
          <w:ilvl w:val="0"/>
          <w:numId w:val="1004"/>
        </w:numPr>
        <w:bidi w:val="1"/>
        <w:jc w:val="right"/>
      </w:pPr>
      <w:r>
        <w:rPr>
          <w:rFonts w:cs="Arial" w:ascii="Arial" w:hAnsi="Arial"/>
          <w:rtl/>
        </w:rPr>
        <w:t xml:space="preserve">المالك / المسؤولية: الإدارة العليا / قسم الحوكمة.</w:t>
      </w:r>
    </w:p>
    <w:p>
      <w:pPr>
        <w:pStyle w:val="Compact"/>
        <w:numPr>
          <w:ilvl w:val="0"/>
          <w:numId w:val="1004"/>
        </w:numPr>
        <w:bidi w:val="1"/>
        <w:jc w:val="right"/>
      </w:pPr>
      <w:r>
        <w:rPr>
          <w:rFonts w:cs="Arial" w:ascii="Arial" w:hAnsi="Arial"/>
          <w:rtl/>
        </w:rPr>
        <w:t xml:space="preserve">حالة الخطر الحالية (Status): 🟢 تحت السيطرة المطلقة.</w:t>
      </w:r>
    </w:p>
    <w:p>
      <w:pPr>
        <w:bidi w:val="1"/>
        <w:jc w:val="right"/>
      </w:pPr>
      <w:r>
        <w:rPr>
          <w:rFonts w:cs="Arial" w:ascii="Arial" w:hAnsi="Arial"/>
          <w:rtl/>
        </w:rPr>
        <w:pict>
          <v:rect style="width:0;height:1.5pt" o:hralign="center" o:hrstd="t" o:hr="t"/>
        </w:pict>
      </w:r>
    </w:p>
    <w:bookmarkEnd w:id="19"/>
    <w:bookmarkEnd w:id="20"/>
    <w:bookmarkStart w:id="23" w:name="X4a2cdfcc9bca6309416c4550129db4b7e6cd097"/>
    <w:p>
      <w:pPr>
        <w:pStyle w:val="2"/>
        <w:bidi w:val="1"/>
        <w:jc w:val="right"/>
      </w:pPr>
      <w:r>
        <w:rPr>
          <w:rFonts w:cs="Arial" w:ascii="Arial" w:hAnsi="Arial"/>
          <w:rtl/>
        </w:rPr>
        <w:t xml:space="preserve">المبحث الثاني: سجل الفرص (Opportunity Register)</w:t>
      </w:r>
    </w:p>
    <w:p>
      <w:pPr>
        <w:pStyle w:val="FirstParagraph"/>
        <w:bidi w:val="1"/>
        <w:jc w:val="right"/>
      </w:pPr>
      <w:r>
        <w:rPr>
          <w:rFonts w:cs="Arial" w:ascii="Arial" w:hAnsi="Arial"/>
          <w:rtl/>
        </w:rPr>
        <w:t xml:space="preserve">(يتم تقييم الفرص بناء على القيمة الاستراتيجية المضافة والمنفعة المستدامة)</w:t>
      </w:r>
    </w:p>
    <w:bookmarkStart w:id="21" w:name="X8ed3e036e07013bef18818b72c4dbeeba9793c2"/>
    <w:p>
      <w:pPr>
        <w:pStyle w:val="3"/>
        <w:bidi w:val="1"/>
        <w:jc w:val="right"/>
      </w:pPr>
      <w:r>
        <w:rPr>
          <w:rFonts w:cs="Arial" w:ascii="Arial" w:hAnsi="Arial"/>
          <w:rtl/>
        </w:rPr>
        <w:t xml:space="preserve">1. فرصة التكامل الرقمي الحكومي (Digital Integration Initiative)</w:t>
      </w:r>
    </w:p>
    <w:p>
      <w:pPr>
        <w:pStyle w:val="Compact"/>
        <w:numPr>
          <w:ilvl w:val="0"/>
          <w:numId w:val="1005"/>
        </w:numPr>
        <w:bidi w:val="1"/>
        <w:jc w:val="right"/>
      </w:pPr>
      <w:r>
        <w:rPr>
          <w:rFonts w:cs="Arial" w:ascii="Arial" w:hAnsi="Arial"/>
          <w:rtl/>
        </w:rPr>
        <w:t xml:space="preserve">الفرصة المتاحة: تفعيل الربط البرمجي (الربط البرمجي Integration) بين نظام (رافد) والبوابات المعنية بوزارة الموارد البشرية والضمان الاجتماعي أو منصة إحسان.</w:t>
      </w:r>
    </w:p>
    <w:p>
      <w:pPr>
        <w:pStyle w:val="Compact"/>
        <w:numPr>
          <w:ilvl w:val="0"/>
          <w:numId w:val="1005"/>
        </w:numPr>
        <w:bidi w:val="1"/>
        <w:jc w:val="right"/>
      </w:pPr>
      <w:r>
        <w:rPr>
          <w:rFonts w:cs="Arial" w:ascii="Arial" w:hAnsi="Arial"/>
          <w:rtl/>
        </w:rPr>
        <w:t xml:space="preserve">العائد الاستراتيجي المرجو (ROI):</w:t>
      </w:r>
    </w:p>
    <w:p>
      <w:pPr>
        <w:pStyle w:val="Compact"/>
        <w:numPr>
          <w:ilvl w:val="0"/>
          <w:numId w:val="1005"/>
        </w:numPr>
        <w:bidi w:val="1"/>
        <w:jc w:val="right"/>
      </w:pPr>
      <w:r>
        <w:rPr>
          <w:rFonts w:cs="Arial" w:ascii="Arial" w:hAnsi="Arial"/>
          <w:rtl/>
        </w:rPr>
        <w:t xml:space="preserve">الاستدعاء الآلي والموثوق لبيانات المستفيدين (تصفير معدل أخطاء إدخال البيانات).</w:t>
      </w:r>
    </w:p>
    <w:p>
      <w:pPr>
        <w:pStyle w:val="Compact"/>
        <w:numPr>
          <w:ilvl w:val="0"/>
          <w:numId w:val="1005"/>
        </w:numPr>
        <w:bidi w:val="1"/>
        <w:jc w:val="right"/>
      </w:pPr>
      <w:r>
        <w:rPr>
          <w:rFonts w:cs="Arial" w:ascii="Arial" w:hAnsi="Arial"/>
          <w:rtl/>
        </w:rPr>
        <w:t xml:space="preserve">تقليص دورة حياة معالجة الطلبات (Turnaround Time) بنسبة قد تصل إلى 80%.</w:t>
      </w:r>
    </w:p>
    <w:p>
      <w:pPr>
        <w:pStyle w:val="Compact"/>
        <w:numPr>
          <w:ilvl w:val="0"/>
          <w:numId w:val="1005"/>
        </w:numPr>
        <w:bidi w:val="1"/>
        <w:jc w:val="right"/>
      </w:pPr>
      <w:r>
        <w:rPr>
          <w:rFonts w:cs="Arial" w:ascii="Arial" w:hAnsi="Arial"/>
          <w:rtl/>
        </w:rPr>
        <w:t xml:space="preserve">الإجراء التنفيذي المطلوب: الحصول على تصاريح بروتوكولات الربط الآمن والتنسيق التقني الوثيق.</w:t>
      </w:r>
    </w:p>
    <w:p>
      <w:pPr>
        <w:pStyle w:val="Compact"/>
        <w:numPr>
          <w:ilvl w:val="0"/>
          <w:numId w:val="1005"/>
        </w:numPr>
        <w:bidi w:val="1"/>
        <w:jc w:val="right"/>
      </w:pPr>
      <w:r>
        <w:rPr>
          <w:rFonts w:cs="Arial" w:ascii="Arial" w:hAnsi="Arial"/>
          <w:rtl/>
        </w:rPr>
        <w:t xml:space="preserve">المالك: قيادة الجمعية / إدارة التقنية.</w:t>
      </w:r>
    </w:p>
    <w:bookmarkEnd w:id="21"/>
    <w:bookmarkStart w:id="22" w:name="X7bf741c849eb4a5fff75a9d7850fbf6aa6cd9b9"/>
    <w:p>
      <w:pPr>
        <w:pStyle w:val="3"/>
        <w:bidi w:val="1"/>
        <w:jc w:val="right"/>
      </w:pPr>
      <w:r>
        <w:rPr>
          <w:rFonts w:cs="Arial" w:ascii="Arial" w:hAnsi="Arial"/>
          <w:rtl/>
        </w:rPr>
        <w:t xml:space="preserve">2. فرصة التميز المؤسسي (Institutional Excellence Opportunity)</w:t>
      </w:r>
    </w:p>
    <w:p>
      <w:pPr>
        <w:pStyle w:val="Compact"/>
        <w:numPr>
          <w:ilvl w:val="0"/>
          <w:numId w:val="1006"/>
        </w:numPr>
        <w:bidi w:val="1"/>
        <w:jc w:val="right"/>
      </w:pPr>
      <w:r>
        <w:rPr>
          <w:rFonts w:cs="Arial" w:ascii="Arial" w:hAnsi="Arial"/>
          <w:rtl/>
        </w:rPr>
        <w:t xml:space="preserve">الفرصة المتاحة: تأطير شهادة الأيزو (الآيزو 9001) وشهادة الامتثال لمعايير (مكين) بشكل رسمي بعد رقمنة العمليات حصريا بنظام رافد.</w:t>
      </w:r>
    </w:p>
    <w:p>
      <w:pPr>
        <w:pStyle w:val="Compact"/>
        <w:numPr>
          <w:ilvl w:val="0"/>
          <w:numId w:val="1006"/>
        </w:numPr>
        <w:bidi w:val="1"/>
        <w:jc w:val="right"/>
      </w:pPr>
      <w:r>
        <w:rPr>
          <w:rFonts w:cs="Arial" w:ascii="Arial" w:hAnsi="Arial"/>
          <w:rtl/>
        </w:rPr>
        <w:t xml:space="preserve">العائد الاستراتيجي المرجو (ROI):</w:t>
      </w:r>
    </w:p>
    <w:p>
      <w:pPr>
        <w:pStyle w:val="Compact"/>
        <w:numPr>
          <w:ilvl w:val="0"/>
          <w:numId w:val="1006"/>
        </w:numPr>
        <w:bidi w:val="1"/>
        <w:jc w:val="right"/>
      </w:pPr>
      <w:r>
        <w:rPr>
          <w:rFonts w:cs="Arial" w:ascii="Arial" w:hAnsi="Arial"/>
          <w:rtl/>
        </w:rPr>
        <w:t xml:space="preserve">رفع تصنيف موثوقية الجمعية (Credit Rating) كشريك استراتيجي رائد لحوكمة المسؤولية المجتمعية.</w:t>
      </w:r>
    </w:p>
    <w:p>
      <w:pPr>
        <w:pStyle w:val="Compact"/>
        <w:numPr>
          <w:ilvl w:val="0"/>
          <w:numId w:val="1006"/>
        </w:numPr>
        <w:bidi w:val="1"/>
        <w:jc w:val="right"/>
      </w:pPr>
      <w:r>
        <w:rPr>
          <w:rFonts w:cs="Arial" w:ascii="Arial" w:hAnsi="Arial"/>
          <w:rtl/>
        </w:rPr>
        <w:t xml:space="preserve">تعزيز الجاذبية للحصول على اعتمادات الهبات الإغاثية والمنح الدولية.</w:t>
      </w:r>
    </w:p>
    <w:p>
      <w:pPr>
        <w:pStyle w:val="Compact"/>
        <w:numPr>
          <w:ilvl w:val="0"/>
          <w:numId w:val="1006"/>
        </w:numPr>
        <w:bidi w:val="1"/>
        <w:jc w:val="right"/>
      </w:pPr>
      <w:r>
        <w:rPr>
          <w:rFonts w:cs="Arial" w:ascii="Arial" w:hAnsi="Arial"/>
          <w:rtl/>
        </w:rPr>
        <w:t xml:space="preserve">الإجراء التنفيذي المطلوب: تتويج المشروع باستدعاء شركة تدقيق ومنح (Certification Body) معتمدة دوليا.</w:t>
      </w:r>
    </w:p>
    <w:p>
      <w:pPr>
        <w:pStyle w:val="Compact"/>
        <w:numPr>
          <w:ilvl w:val="0"/>
          <w:numId w:val="1006"/>
        </w:numPr>
        <w:bidi w:val="1"/>
        <w:jc w:val="right"/>
      </w:pPr>
      <w:r>
        <w:rPr>
          <w:rFonts w:cs="Arial" w:ascii="Arial" w:hAnsi="Arial"/>
          <w:rtl/>
        </w:rPr>
        <w:t xml:space="preserve">المالك: إدارة الجودة الشاملة والتطوير المؤسسي.</w:t>
      </w:r>
    </w:p>
    <w:bookmarkEnd w:id="22"/>
    <w:bookmarkEnd w:id="23"/>
    <w:bookmarkEnd w:id="24"/>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