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2400"/>
        <w:jc w:val="center"/>
      </w:pPr>
      <w:r>
        <w:rPr>
          <w:rFonts w:ascii="Arial" w:cs="Arial" w:eastAsia="Arial" w:hAnsi="Arial"/>
          <w:b/>
          <w:bCs/>
          <w:color w:val="1F4E79"/>
          <w:sz w:val="48"/>
          <w:szCs w:val="48"/>
          <w:rtl/>
        </w:rPr>
        <w:t xml:space="preserve">جمعية البر الخيرية بصبيا</w:t>
      </w:r>
    </w:p>
    <w:p>
      <w:pPr>
        <w:bidi/>
        <w:spacing w:after="240" w:before="240"/>
        <w:jc w:val="center"/>
      </w:pPr>
      <w:r>
        <w:rPr>
          <w:rFonts w:ascii="Arial" w:cs="Arial" w:eastAsia="Arial" w:hAnsi="Arial"/>
          <w:b/>
          <w:bCs/>
          <w:color w:val="2E75B6"/>
          <w:sz w:val="40"/>
          <w:szCs w:val="40"/>
          <w:rtl/>
        </w:rPr>
        <w:t xml:space="preserve">الخطة الاستراتيجية 2026-2030</w:t>
      </w:r>
    </w:p>
    <w:p>
      <w:pPr>
        <w:bidi/>
        <w:spacing w:after="240" w:before="720"/>
        <w:jc w:val="center"/>
      </w:pPr>
      <w:r>
        <w:rPr>
          <w:rFonts w:ascii="Arial" w:cs="Arial" w:eastAsia="Arial" w:hAnsi="Arial"/>
          <w:b/>
          <w:bCs/>
          <w:sz w:val="32"/>
          <w:szCs w:val="32"/>
          <w:rtl/>
        </w:rPr>
        <w:t xml:space="preserve">وثيقة العرض الرسمية لمجلس الإدارة</w:t>
      </w:r>
    </w:p>
    <w:p>
      <w:pPr>
        <w:bidi/>
        <w:spacing w:after="240" w:before="240"/>
        <w:jc w:val="center"/>
      </w:pPr>
      <w:r>
        <w:rPr>
          <w:rFonts w:ascii="Arial" w:cs="Arial" w:eastAsia="Arial" w:hAnsi="Arial"/>
          <w:color w:val="595959"/>
          <w:sz w:val="26"/>
          <w:szCs w:val="26"/>
          <w:rtl/>
        </w:rPr>
        <w:t xml:space="preserve">صبيا — منطقة جازان</w:t>
      </w:r>
    </w:p>
    <w:p>
      <w:pPr>
        <w:bidi/>
        <w:spacing w:after="80" w:before="1440"/>
        <w:jc w:val="center"/>
      </w:pPr>
      <w:r>
        <w:rPr>
          <w:rFonts w:ascii="Arial" w:cs="Arial" w:eastAsia="Arial" w:hAnsi="Arial"/>
          <w:color w:val="595959"/>
          <w:sz w:val="22"/>
          <w:szCs w:val="22"/>
          <w:rtl/>
        </w:rPr>
        <w:t xml:space="preserve">تاريخ الإصدار: 2026-04-30</w:t>
      </w:r>
    </w:p>
    <w:p>
      <w:pPr>
        <w:bidi/>
        <w:spacing w:after="80" w:before="80"/>
        <w:jc w:val="center"/>
      </w:pPr>
      <w:r>
        <w:rPr>
          <w:rFonts w:ascii="Arial" w:cs="Arial" w:eastAsia="Arial" w:hAnsi="Arial"/>
          <w:color w:val="595959"/>
          <w:sz w:val="22"/>
          <w:szCs w:val="22"/>
          <w:rtl/>
        </w:rPr>
        <w:t xml:space="preserve">الإصدار: 1.0</w:t>
      </w:r>
    </w:p>
    <w:p>
      <w:pPr>
        <w:bidi/>
        <w:spacing w:after="80" w:before="80"/>
        <w:jc w:val="center"/>
      </w:pPr>
      <w:r>
        <w:rPr>
          <w:rFonts w:ascii="Arial" w:cs="Arial" w:eastAsia="Arial" w:hAnsi="Arial"/>
          <w:color w:val="595959"/>
          <w:sz w:val="22"/>
          <w:szCs w:val="22"/>
          <w:rtl/>
        </w:rPr>
        <w:t xml:space="preserve">الحالة: مُعتمَد للعرض على المجلس</w:t>
      </w:r>
    </w:p>
    <w:p>
      <w:r>
        <w:br w:type="page"/>
      </w:r>
    </w:p>
    <w:p>
      <w:pPr>
        <w:pStyle w:val="Heading1"/>
        <w:bidi/>
        <w:spacing w:after="240" w:before="360"/>
        <w:jc w:val="right"/>
      </w:pPr>
      <w:r>
        <w:rPr>
          <w:rFonts w:ascii="Arial" w:cs="Arial" w:eastAsia="Arial" w:hAnsi="Arial"/>
          <w:b/>
          <w:bCs/>
          <w:color w:val="1F4E79"/>
          <w:sz w:val="32"/>
          <w:szCs w:val="32"/>
          <w:rtl/>
        </w:rPr>
        <w:t xml:space="preserve">1. الملخص التنفيذي</w:t>
      </w:r>
    </w:p>
    <w:p>
      <w:pPr>
        <w:bidi/>
        <w:spacing w:after="80" w:before="80"/>
        <w:jc w:val="right"/>
      </w:pPr>
      <w:r>
        <w:rPr>
          <w:rFonts w:ascii="Arial" w:cs="Arial" w:eastAsia="Arial" w:hAnsi="Arial"/>
          <w:sz w:val="22"/>
          <w:szCs w:val="22"/>
          <w:rtl/>
        </w:rPr>
        <w:t xml:space="preserve">تُقدّم هذه الوثيقة الخطة الاستراتيجية لجمعية البر الخيرية بصبيا للسنوات الخمس القادمة (2026-2030)، بناءً على رؤية مؤسسية تستند إلى الواقع الميداني الفعلي لقاعدة المستفيدين، والتزام صريح بالشفافية في عرض الإنجازات والقيود والمخاطر معاً.</w:t>
      </w:r>
    </w:p>
    <w:p>
      <w:pPr>
        <w:pStyle w:val="Heading2"/>
        <w:bidi/>
        <w:spacing w:after="160" w:before="240"/>
        <w:jc w:val="right"/>
      </w:pPr>
      <w:r>
        <w:rPr>
          <w:rFonts w:ascii="Arial" w:cs="Arial" w:eastAsia="Arial" w:hAnsi="Arial"/>
          <w:b/>
          <w:bCs/>
          <w:color w:val="2E75B6"/>
          <w:sz w:val="28"/>
          <w:szCs w:val="28"/>
          <w:rtl/>
        </w:rPr>
        <w:t xml:space="preserve">1.1 ما تعرضه هذه الوثيقة</w:t>
      </w:r>
    </w:p>
    <w:p>
      <w:pPr>
        <w:pStyle w:val="ListParagraph"/>
        <w:numPr>
          <w:ilvl w:val="0"/>
          <w:numId w:val="2"/>
        </w:numPr>
        <w:bidi/>
        <w:spacing w:after="60" w:before="60"/>
        <w:jc w:val="right"/>
      </w:pPr>
      <w:r>
        <w:rPr>
          <w:rFonts w:ascii="Arial" w:cs="Arial" w:eastAsia="Arial" w:hAnsi="Arial"/>
          <w:sz w:val="22"/>
          <w:szCs w:val="22"/>
          <w:rtl/>
        </w:rPr>
        <w:t xml:space="preserve">8 أهداف استراتيجية موزّعة على 4 محاور تشغيلية مُعتمَدة</w:t>
      </w:r>
    </w:p>
    <w:p>
      <w:pPr>
        <w:pStyle w:val="ListParagraph"/>
        <w:numPr>
          <w:ilvl w:val="0"/>
          <w:numId w:val="2"/>
        </w:numPr>
        <w:bidi/>
        <w:spacing w:after="60" w:before="60"/>
        <w:jc w:val="right"/>
      </w:pPr>
      <w:r>
        <w:rPr>
          <w:rFonts w:ascii="Arial" w:cs="Arial" w:eastAsia="Arial" w:hAnsi="Arial"/>
          <w:sz w:val="22"/>
          <w:szCs w:val="22"/>
          <w:rtl/>
        </w:rPr>
        <w:t xml:space="preserve">19 هدفاً تشغيلياً + 21 مبادرة فعّالة + 16 مؤشر أداء قابلاً للقياس</w:t>
      </w:r>
    </w:p>
    <w:p>
      <w:pPr>
        <w:pStyle w:val="ListParagraph"/>
        <w:numPr>
          <w:ilvl w:val="0"/>
          <w:numId w:val="2"/>
        </w:numPr>
        <w:bidi/>
        <w:spacing w:after="60" w:before="60"/>
        <w:jc w:val="right"/>
      </w:pPr>
      <w:r>
        <w:rPr>
          <w:rFonts w:ascii="Arial" w:cs="Arial" w:eastAsia="Arial" w:hAnsi="Arial"/>
          <w:sz w:val="22"/>
          <w:szCs w:val="22"/>
          <w:rtl/>
        </w:rPr>
        <w:t xml:space="preserve">خط الأساس الفعلي 2025 المستخرَج من قاعدة بيانات النظام (2,375 ملف مستفيد)</w:t>
      </w:r>
    </w:p>
    <w:p>
      <w:pPr>
        <w:pStyle w:val="ListParagraph"/>
        <w:numPr>
          <w:ilvl w:val="0"/>
          <w:numId w:val="2"/>
        </w:numPr>
        <w:bidi/>
        <w:spacing w:after="60" w:before="60"/>
        <w:jc w:val="right"/>
      </w:pPr>
      <w:r>
        <w:rPr>
          <w:rFonts w:ascii="Arial" w:cs="Arial" w:eastAsia="Arial" w:hAnsi="Arial"/>
          <w:sz w:val="22"/>
          <w:szCs w:val="22"/>
          <w:rtl/>
        </w:rPr>
        <w:t xml:space="preserve">المستهدفات السنوية للسنوات الخمس بنموذج النمو المتسارع</w:t>
      </w:r>
    </w:p>
    <w:p>
      <w:pPr>
        <w:pStyle w:val="ListParagraph"/>
        <w:numPr>
          <w:ilvl w:val="0"/>
          <w:numId w:val="2"/>
        </w:numPr>
        <w:bidi/>
        <w:spacing w:after="60" w:before="60"/>
        <w:jc w:val="right"/>
      </w:pPr>
      <w:r>
        <w:rPr>
          <w:rFonts w:ascii="Arial" w:cs="Arial" w:eastAsia="Arial" w:hAnsi="Arial"/>
          <w:sz w:val="22"/>
          <w:szCs w:val="22"/>
          <w:rtl/>
        </w:rPr>
        <w:t xml:space="preserve">سجل المخاطر المؤسسية المُعتمَد</w:t>
      </w:r>
    </w:p>
    <w:p>
      <w:pPr>
        <w:pStyle w:val="ListParagraph"/>
        <w:numPr>
          <w:ilvl w:val="0"/>
          <w:numId w:val="2"/>
        </w:numPr>
        <w:bidi/>
        <w:spacing w:after="60" w:before="60"/>
        <w:jc w:val="right"/>
      </w:pPr>
      <w:r>
        <w:rPr>
          <w:rFonts w:ascii="Arial" w:cs="Arial" w:eastAsia="Arial" w:hAnsi="Arial"/>
          <w:sz w:val="22"/>
          <w:szCs w:val="22"/>
          <w:rtl/>
        </w:rPr>
        <w:t xml:space="preserve">قسم صريح بالقيود والفجوات التي تعمل عليها الجمعية</w:t>
      </w:r>
    </w:p>
    <w:p>
      <w:pPr>
        <w:pStyle w:val="Heading2"/>
        <w:bidi/>
        <w:spacing w:after="160" w:before="240"/>
        <w:jc w:val="right"/>
      </w:pPr>
      <w:r>
        <w:rPr>
          <w:rFonts w:ascii="Arial" w:cs="Arial" w:eastAsia="Arial" w:hAnsi="Arial"/>
          <w:b/>
          <w:bCs/>
          <w:color w:val="2E75B6"/>
          <w:sz w:val="28"/>
          <w:szCs w:val="28"/>
          <w:rtl/>
        </w:rPr>
        <w:t xml:space="preserve">1.2 ما تطلبه هذه الوثيقة من المجلس</w:t>
      </w:r>
    </w:p>
    <w:p>
      <w:pPr>
        <w:pStyle w:val="ListParagraph"/>
        <w:numPr>
          <w:ilvl w:val="0"/>
          <w:numId w:val="2"/>
        </w:numPr>
        <w:bidi/>
        <w:spacing w:after="60" w:before="60"/>
        <w:jc w:val="right"/>
      </w:pPr>
      <w:r>
        <w:rPr>
          <w:rFonts w:ascii="Arial" w:cs="Arial" w:eastAsia="Arial" w:hAnsi="Arial"/>
          <w:sz w:val="22"/>
          <w:szCs w:val="22"/>
          <w:rtl/>
        </w:rPr>
        <w:t xml:space="preserve">اعتماد الخطة كإطار تنفيذي ملزم على مدى 5 سنوات</w:t>
      </w:r>
    </w:p>
    <w:p>
      <w:pPr>
        <w:pStyle w:val="ListParagraph"/>
        <w:numPr>
          <w:ilvl w:val="0"/>
          <w:numId w:val="2"/>
        </w:numPr>
        <w:bidi/>
        <w:spacing w:after="60" w:before="60"/>
        <w:jc w:val="right"/>
      </w:pPr>
      <w:r>
        <w:rPr>
          <w:rFonts w:ascii="Arial" w:cs="Arial" w:eastAsia="Arial" w:hAnsi="Arial"/>
          <w:sz w:val="22"/>
          <w:szCs w:val="22"/>
          <w:rtl/>
        </w:rPr>
        <w:t xml:space="preserve">الموافقة على المراجعات الربعية المُلزمة لمجلس الإدارة</w:t>
      </w:r>
    </w:p>
    <w:p>
      <w:pPr>
        <w:pStyle w:val="ListParagraph"/>
        <w:numPr>
          <w:ilvl w:val="0"/>
          <w:numId w:val="2"/>
        </w:numPr>
        <w:bidi/>
        <w:spacing w:after="60" w:before="60"/>
        <w:jc w:val="right"/>
      </w:pPr>
      <w:r>
        <w:rPr>
          <w:rFonts w:ascii="Arial" w:cs="Arial" w:eastAsia="Arial" w:hAnsi="Arial"/>
          <w:sz w:val="22"/>
          <w:szCs w:val="22"/>
          <w:rtl/>
        </w:rPr>
        <w:t xml:space="preserve">تخصيص الموارد التشغيلية اللازمة لمسارات الجودة والشراكات والتحول الرقمي</w:t>
      </w:r>
    </w:p>
    <w:p>
      <w:pPr>
        <w:pStyle w:val="ListParagraph"/>
        <w:numPr>
          <w:ilvl w:val="0"/>
          <w:numId w:val="2"/>
        </w:numPr>
        <w:bidi/>
        <w:spacing w:after="60" w:before="60"/>
        <w:jc w:val="right"/>
      </w:pPr>
      <w:r>
        <w:rPr>
          <w:rFonts w:ascii="Arial" w:cs="Arial" w:eastAsia="Arial" w:hAnsi="Arial"/>
          <w:sz w:val="22"/>
          <w:szCs w:val="22"/>
          <w:rtl/>
        </w:rPr>
        <w:t xml:space="preserve">دعم الانتقال إلى منظومة قياس أثر مؤسسية موحَّدة</w:t>
      </w:r>
    </w:p>
    <w:p>
      <w:r>
        <w:br w:type="page"/>
      </w:r>
    </w:p>
    <w:p>
      <w:pPr>
        <w:pStyle w:val="Heading1"/>
        <w:bidi/>
        <w:spacing w:after="240" w:before="360"/>
        <w:jc w:val="right"/>
      </w:pPr>
      <w:r>
        <w:rPr>
          <w:rFonts w:ascii="Arial" w:cs="Arial" w:eastAsia="Arial" w:hAnsi="Arial"/>
          <w:b/>
          <w:bCs/>
          <w:color w:val="1F4E79"/>
          <w:sz w:val="32"/>
          <w:szCs w:val="32"/>
          <w:rtl/>
        </w:rPr>
        <w:t xml:space="preserve">2. الإطار العام للخطة</w:t>
      </w:r>
    </w:p>
    <w:p>
      <w:pPr>
        <w:pStyle w:val="Heading2"/>
        <w:bidi/>
        <w:spacing w:after="160" w:before="240"/>
        <w:jc w:val="right"/>
      </w:pPr>
      <w:r>
        <w:rPr>
          <w:rFonts w:ascii="Arial" w:cs="Arial" w:eastAsia="Arial" w:hAnsi="Arial"/>
          <w:b/>
          <w:bCs/>
          <w:color w:val="2E75B6"/>
          <w:sz w:val="28"/>
          <w:szCs w:val="28"/>
          <w:rtl/>
        </w:rPr>
        <w:t xml:space="preserve">2.1 المحاور الاستراتيجية الأربعة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300"/>
        <w:gridCol w:w="3560"/>
      </w:tblGrid>
      <w:tr>
        <w:tc>
          <w:tcPr>
            <w:tcW w:type="dxa" w:w="150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الكود</w:t>
            </w:r>
          </w:p>
        </w:tc>
        <w:tc>
          <w:tcPr>
            <w:tcW w:type="dxa" w:w="300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المحور</w:t>
            </w:r>
          </w:p>
        </w:tc>
        <w:tc>
          <w:tcPr>
            <w:tcW w:type="dxa" w:w="130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عدد الأهداف</w:t>
            </w:r>
          </w:p>
        </w:tc>
        <w:tc>
          <w:tcPr>
            <w:tcW w:type="dxa" w:w="356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التركيز الرئيسي</w:t>
            </w:r>
          </w:p>
        </w:tc>
      </w:tr>
      <w:tr>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b/>
                <w:bCs/>
                <w:sz w:val="20"/>
                <w:szCs w:val="20"/>
                <w:rtl/>
              </w:rPr>
              <w:t xml:space="preserve">AXIS-01</w:t>
            </w:r>
          </w:p>
        </w:tc>
        <w:tc>
          <w:tcPr>
            <w:tcW w:type="dxa" w:w="3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الأثر الاجتماعي والمستفيد</w:t>
            </w:r>
          </w:p>
        </w:tc>
        <w:tc>
          <w:tcPr>
            <w:tcW w:type="dxa" w:w="13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3</w:t>
            </w:r>
          </w:p>
        </w:tc>
        <w:tc>
          <w:tcPr>
            <w:tcW w:type="dxa" w:w="35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تعميق الأثر · تمكين المستفيدين · جودة الخدمة</w:t>
            </w:r>
          </w:p>
        </w:tc>
      </w:tr>
      <w:tr>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b/>
                <w:bCs/>
                <w:sz w:val="20"/>
                <w:szCs w:val="20"/>
                <w:rtl/>
              </w:rPr>
              <w:t xml:space="preserve">AXIS-02</w:t>
            </w:r>
          </w:p>
        </w:tc>
        <w:tc>
          <w:tcPr>
            <w:tcW w:type="dxa" w:w="3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الاستدامة المالية</w:t>
            </w:r>
          </w:p>
        </w:tc>
        <w:tc>
          <w:tcPr>
            <w:tcW w:type="dxa" w:w="13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w:t>
            </w:r>
          </w:p>
        </w:tc>
        <w:tc>
          <w:tcPr>
            <w:tcW w:type="dxa" w:w="35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تنويع مصادر الدخل ورفع نسبة الموارد الذاتية</w:t>
            </w:r>
          </w:p>
        </w:tc>
      </w:tr>
      <w:tr>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b/>
                <w:bCs/>
                <w:sz w:val="20"/>
                <w:szCs w:val="20"/>
                <w:rtl/>
              </w:rPr>
              <w:t xml:space="preserve">AXIS-03</w:t>
            </w:r>
          </w:p>
        </w:tc>
        <w:tc>
          <w:tcPr>
            <w:tcW w:type="dxa" w:w="3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التميز المؤسسي والتحول الرقمي</w:t>
            </w:r>
          </w:p>
        </w:tc>
        <w:tc>
          <w:tcPr>
            <w:tcW w:type="dxa" w:w="13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2</w:t>
            </w:r>
          </w:p>
        </w:tc>
        <w:tc>
          <w:tcPr>
            <w:tcW w:type="dxa" w:w="35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الجودة والحوكمة · ERP والذكاء المؤسسي</w:t>
            </w:r>
          </w:p>
        </w:tc>
      </w:tr>
      <w:tr>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b/>
                <w:bCs/>
                <w:sz w:val="20"/>
                <w:szCs w:val="20"/>
                <w:rtl/>
              </w:rPr>
              <w:t xml:space="preserve">AXIS-04</w:t>
            </w:r>
          </w:p>
        </w:tc>
        <w:tc>
          <w:tcPr>
            <w:tcW w:type="dxa" w:w="3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الشراكات ورأس المال البشري</w:t>
            </w:r>
          </w:p>
        </w:tc>
        <w:tc>
          <w:tcPr>
            <w:tcW w:type="dxa" w:w="13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2</w:t>
            </w:r>
          </w:p>
        </w:tc>
        <w:tc>
          <w:tcPr>
            <w:tcW w:type="dxa" w:w="35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منظومة الشراكات · تنمية الكوادر والتطوع</w:t>
            </w:r>
          </w:p>
        </w:tc>
      </w:tr>
    </w:tbl>
    <w:p>
      <w:pPr>
        <w:bidi/>
        <w:spacing w:after="80" w:before="80"/>
        <w:jc w:val="right"/>
      </w:pPr>
      <w:r>
        <w:rPr>
          <w:rFonts w:ascii="Arial" w:cs="Arial" w:eastAsia="Arial" w:hAnsi="Arial"/>
          <w:sz w:val="22"/>
          <w:szCs w:val="22"/>
          <w:rtl/>
        </w:rPr>
        <w:t xml:space="preserve"/>
      </w:r>
    </w:p>
    <w:p>
      <w:pPr>
        <w:bidi/>
        <w:spacing w:after="80" w:before="80"/>
        <w:jc w:val="right"/>
      </w:pPr>
      <w:r>
        <w:rPr>
          <w:rFonts w:ascii="Arial" w:cs="Arial" w:eastAsia="Arial" w:hAnsi="Arial"/>
          <w:color w:val="595959"/>
          <w:sz w:val="20"/>
          <w:szCs w:val="20"/>
          <w:rtl/>
        </w:rPr>
        <w:t xml:space="preserve">ملاحظة: المحاور الخمس لنموذج BSC (المالي/العميل/العمليات/التعلّم/الحوكمة) موجودة كبيانات مرجعية في النظام لقرار إداري لاحق، ولا تُستخدم في الخطة الحالية.</w:t>
      </w:r>
    </w:p>
    <w:p>
      <w:pPr>
        <w:pStyle w:val="Heading2"/>
        <w:bidi/>
        <w:spacing w:after="160" w:before="240"/>
        <w:jc w:val="right"/>
      </w:pPr>
      <w:r>
        <w:rPr>
          <w:rFonts w:ascii="Arial" w:cs="Arial" w:eastAsia="Arial" w:hAnsi="Arial"/>
          <w:b/>
          <w:bCs/>
          <w:color w:val="2E75B6"/>
          <w:sz w:val="28"/>
          <w:szCs w:val="28"/>
          <w:rtl/>
        </w:rPr>
        <w:t xml:space="preserve">2.2 الأهداف الاستراتيجية الثمانية ومالكوها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60"/>
        <w:gridCol w:w="1100"/>
        <w:gridCol w:w="2600"/>
      </w:tblGrid>
      <w:tr>
        <w:tc>
          <w:tcPr>
            <w:tcW w:type="dxa" w:w="170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الكود</w:t>
            </w:r>
          </w:p>
        </w:tc>
        <w:tc>
          <w:tcPr>
            <w:tcW w:type="dxa" w:w="396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الهدف</w:t>
            </w:r>
          </w:p>
        </w:tc>
        <w:tc>
          <w:tcPr>
            <w:tcW w:type="dxa" w:w="110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المحور</w:t>
            </w:r>
          </w:p>
        </w:tc>
        <w:tc>
          <w:tcPr>
            <w:tcW w:type="dxa" w:w="260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المالك</w:t>
            </w:r>
          </w:p>
        </w:tc>
      </w:tr>
      <w:tr>
        <w:tc>
          <w:tcPr>
            <w:tcW w:type="dxa" w:w="1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STR-2026-003</w:t>
            </w:r>
          </w:p>
        </w:tc>
        <w:tc>
          <w:tcPr>
            <w:tcW w:type="dxa" w:w="39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تعميق الأثر الاجتماعي وتحسين معيشة الأسر الأشد احتياجاً</w:t>
            </w:r>
          </w:p>
        </w:tc>
        <w:tc>
          <w:tcPr>
            <w:tcW w:type="dxa" w:w="11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AXIS-01</w:t>
            </w:r>
          </w:p>
        </w:tc>
        <w:tc>
          <w:tcPr>
            <w:tcW w:type="dxa" w:w="26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خاتمة محرق</w:t>
            </w:r>
          </w:p>
        </w:tc>
      </w:tr>
      <w:tr>
        <w:tc>
          <w:tcPr>
            <w:tcW w:type="dxa" w:w="1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STR-2026-004</w:t>
            </w:r>
          </w:p>
        </w:tc>
        <w:tc>
          <w:tcPr>
            <w:tcW w:type="dxa" w:w="39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تمكين المستفيدين اقتصادياً واجتماعياً</w:t>
            </w:r>
          </w:p>
        </w:tc>
        <w:tc>
          <w:tcPr>
            <w:tcW w:type="dxa" w:w="11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AXIS-01</w:t>
            </w:r>
          </w:p>
        </w:tc>
        <w:tc>
          <w:tcPr>
            <w:tcW w:type="dxa" w:w="26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عبدالرحمن عقيل (مؤقت)</w:t>
            </w:r>
          </w:p>
        </w:tc>
      </w:tr>
      <w:tr>
        <w:tc>
          <w:tcPr>
            <w:tcW w:type="dxa" w:w="1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STR-2026-006</w:t>
            </w:r>
          </w:p>
        </w:tc>
        <w:tc>
          <w:tcPr>
            <w:tcW w:type="dxa" w:w="39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تحسين تجربة المستفيد ورفع جودة وسرعة تقديم الخدمات</w:t>
            </w:r>
          </w:p>
        </w:tc>
        <w:tc>
          <w:tcPr>
            <w:tcW w:type="dxa" w:w="11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AXIS-01</w:t>
            </w:r>
          </w:p>
        </w:tc>
        <w:tc>
          <w:tcPr>
            <w:tcW w:type="dxa" w:w="26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خاتمة محرق</w:t>
            </w:r>
          </w:p>
        </w:tc>
      </w:tr>
      <w:tr>
        <w:tc>
          <w:tcPr>
            <w:tcW w:type="dxa" w:w="1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STR-2026-007</w:t>
            </w:r>
          </w:p>
        </w:tc>
        <w:tc>
          <w:tcPr>
            <w:tcW w:type="dxa" w:w="39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تحقيق الاستدامة المالية وتنويع مصادر الدخل</w:t>
            </w:r>
          </w:p>
        </w:tc>
        <w:tc>
          <w:tcPr>
            <w:tcW w:type="dxa" w:w="11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AXIS-02</w:t>
            </w:r>
          </w:p>
        </w:tc>
        <w:tc>
          <w:tcPr>
            <w:tcW w:type="dxa" w:w="26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نادية قلم</w:t>
            </w:r>
          </w:p>
        </w:tc>
      </w:tr>
      <w:tr>
        <w:tc>
          <w:tcPr>
            <w:tcW w:type="dxa" w:w="1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STR-2026-012</w:t>
            </w:r>
          </w:p>
        </w:tc>
        <w:tc>
          <w:tcPr>
            <w:tcW w:type="dxa" w:w="39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تعزيز التميز المؤسسي والحوكمة والالتزام بمعايير الجودة</w:t>
            </w:r>
          </w:p>
        </w:tc>
        <w:tc>
          <w:tcPr>
            <w:tcW w:type="dxa" w:w="11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AXIS-03</w:t>
            </w:r>
          </w:p>
        </w:tc>
        <w:tc>
          <w:tcPr>
            <w:tcW w:type="dxa" w:w="26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ايلاف حسن</w:t>
            </w:r>
          </w:p>
        </w:tc>
      </w:tr>
      <w:tr>
        <w:tc>
          <w:tcPr>
            <w:tcW w:type="dxa" w:w="1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STR-2026-013</w:t>
            </w:r>
          </w:p>
        </w:tc>
        <w:tc>
          <w:tcPr>
            <w:tcW w:type="dxa" w:w="39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قيادة التحول الرقمي وتوظيف الذكاء المؤسسي</w:t>
            </w:r>
          </w:p>
        </w:tc>
        <w:tc>
          <w:tcPr>
            <w:tcW w:type="dxa" w:w="11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AXIS-03</w:t>
            </w:r>
          </w:p>
        </w:tc>
        <w:tc>
          <w:tcPr>
            <w:tcW w:type="dxa" w:w="26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عبدالرحمن عقيل (مؤقت)</w:t>
            </w:r>
          </w:p>
        </w:tc>
      </w:tr>
      <w:tr>
        <w:tc>
          <w:tcPr>
            <w:tcW w:type="dxa" w:w="1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STR-2026-016</w:t>
            </w:r>
          </w:p>
        </w:tc>
        <w:tc>
          <w:tcPr>
            <w:tcW w:type="dxa" w:w="39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بناء منظومة شراكات نوعية تعزز الأثر والاستدامة</w:t>
            </w:r>
          </w:p>
        </w:tc>
        <w:tc>
          <w:tcPr>
            <w:tcW w:type="dxa" w:w="11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AXIS-04</w:t>
            </w:r>
          </w:p>
        </w:tc>
        <w:tc>
          <w:tcPr>
            <w:tcW w:type="dxa" w:w="26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فاطمة عقيبي</w:t>
            </w:r>
          </w:p>
        </w:tc>
      </w:tr>
      <w:tr>
        <w:tc>
          <w:tcPr>
            <w:tcW w:type="dxa" w:w="1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STR-2026-017</w:t>
            </w:r>
          </w:p>
        </w:tc>
        <w:tc>
          <w:tcPr>
            <w:tcW w:type="dxa" w:w="39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تنمية رأس المال البشري والتطوعي</w:t>
            </w:r>
          </w:p>
        </w:tc>
        <w:tc>
          <w:tcPr>
            <w:tcW w:type="dxa" w:w="11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AXIS-04</w:t>
            </w:r>
          </w:p>
        </w:tc>
        <w:tc>
          <w:tcPr>
            <w:tcW w:type="dxa" w:w="26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خليل هادي</w:t>
            </w:r>
          </w:p>
        </w:tc>
      </w:tr>
    </w:tbl>
    <w:p>
      <w:pPr>
        <w:bidi/>
        <w:spacing w:after="80" w:before="80"/>
        <w:jc w:val="right"/>
      </w:pPr>
      <w:r>
        <w:rPr>
          <w:rFonts w:ascii="Arial" w:cs="Arial" w:eastAsia="Arial" w:hAnsi="Arial"/>
          <w:sz w:val="22"/>
          <w:szCs w:val="22"/>
          <w:rtl/>
        </w:rPr>
        <w:t xml:space="preserve"/>
      </w:r>
    </w:p>
    <w:p>
      <w:pPr>
        <w:bidi/>
        <w:spacing w:after="80" w:before="80"/>
        <w:jc w:val="right"/>
      </w:pPr>
      <w:r>
        <w:rPr>
          <w:rFonts w:ascii="Arial" w:cs="Arial" w:eastAsia="Arial" w:hAnsi="Arial"/>
          <w:color w:val="C00000"/>
          <w:sz w:val="20"/>
          <w:szCs w:val="20"/>
          <w:rtl/>
        </w:rPr>
        <w:t xml:space="preserve">⚠️ ملاحظة شفافية: تحميل المدير التنفيذي هدفين (STR-004 + STR-013) وضع مؤقت معتمد، ويُسعى لتعيين منسقَين تنفيذيَّين خلال Q2-Q3 2026.</w:t>
      </w:r>
    </w:p>
    <w:p>
      <w:r>
        <w:br w:type="page"/>
      </w:r>
    </w:p>
    <w:p>
      <w:pPr>
        <w:pStyle w:val="Heading1"/>
        <w:bidi/>
        <w:spacing w:after="240" w:before="360"/>
        <w:jc w:val="right"/>
      </w:pPr>
      <w:r>
        <w:rPr>
          <w:rFonts w:ascii="Arial" w:cs="Arial" w:eastAsia="Arial" w:hAnsi="Arial"/>
          <w:b/>
          <w:bCs/>
          <w:color w:val="1F4E79"/>
          <w:sz w:val="32"/>
          <w:szCs w:val="32"/>
          <w:rtl/>
        </w:rPr>
        <w:t xml:space="preserve">3. خط الأساس الفعلي 2025</w:t>
      </w:r>
    </w:p>
    <w:p>
      <w:pPr>
        <w:bidi/>
        <w:spacing w:after="80" w:before="80"/>
        <w:jc w:val="right"/>
      </w:pPr>
      <w:r>
        <w:rPr>
          <w:rFonts w:ascii="Arial" w:cs="Arial" w:eastAsia="Arial" w:hAnsi="Arial"/>
          <w:sz w:val="22"/>
          <w:szCs w:val="22"/>
          <w:rtl/>
        </w:rPr>
        <w:t xml:space="preserve">تستند الخطة إلى بيانات حقيقية مستخرَجة من قاعدة بيانات النظام بتاريخ 2026-05-01، لا إلى تقديرات أو طموحات. الأرقام التالية موثّقة في الملفات الرسمية للجمعية وقابلة للتدقيق.</w:t>
      </w:r>
    </w:p>
    <w:p>
      <w:pPr>
        <w:pStyle w:val="Heading2"/>
        <w:bidi/>
        <w:spacing w:after="160" w:before="240"/>
        <w:jc w:val="right"/>
      </w:pPr>
      <w:r>
        <w:rPr>
          <w:rFonts w:ascii="Arial" w:cs="Arial" w:eastAsia="Arial" w:hAnsi="Arial"/>
          <w:b/>
          <w:bCs/>
          <w:color w:val="2E75B6"/>
          <w:sz w:val="28"/>
          <w:szCs w:val="28"/>
          <w:rtl/>
        </w:rPr>
        <w:t xml:space="preserve">3.1 قاعدة المستفيدين (مصدر البيانات: ملف 01 مايو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البند</w:t>
            </w:r>
          </w:p>
        </w:tc>
        <w:tc>
          <w:tcPr>
            <w:tcW w:type="dxa" w:w="234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العدد الفعلي</w:t>
            </w:r>
          </w:p>
        </w:tc>
        <w:tc>
          <w:tcPr>
            <w:tcW w:type="dxa" w:w="234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النسبة</w:t>
            </w:r>
          </w:p>
        </w:tc>
      </w:tr>
      <w:tr>
        <w:tc>
          <w:tcPr>
            <w:tcW w:type="dxa" w:w="46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إجمالي ملفات المستفيدين</w:t>
            </w:r>
          </w:p>
        </w:tc>
        <w:tc>
          <w:tcPr>
            <w:tcW w:type="dxa" w:w="234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b/>
                <w:bCs/>
                <w:sz w:val="20"/>
                <w:szCs w:val="20"/>
                <w:rtl/>
              </w:rPr>
              <w:t xml:space="preserve">2,375 ملف</w:t>
            </w:r>
          </w:p>
        </w:tc>
        <w:tc>
          <w:tcPr>
            <w:tcW w:type="dxa" w:w="234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100%</w:t>
            </w:r>
          </w:p>
        </w:tc>
      </w:tr>
      <w:tr>
        <w:tc>
          <w:tcPr>
            <w:tcW w:type="dxa" w:w="46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ملفات معتمدة</w:t>
            </w:r>
          </w:p>
        </w:tc>
        <w:tc>
          <w:tcPr>
            <w:tcW w:type="dxa" w:w="234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2,353</w:t>
            </w:r>
          </w:p>
        </w:tc>
        <w:tc>
          <w:tcPr>
            <w:tcW w:type="dxa" w:w="234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99.1%</w:t>
            </w:r>
          </w:p>
        </w:tc>
      </w:tr>
      <w:tr>
        <w:tc>
          <w:tcPr>
            <w:tcW w:type="dxa" w:w="46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ملفات قيد المراجعة</w:t>
            </w:r>
          </w:p>
        </w:tc>
        <w:tc>
          <w:tcPr>
            <w:tcW w:type="dxa" w:w="234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22</w:t>
            </w:r>
          </w:p>
        </w:tc>
        <w:tc>
          <w:tcPr>
            <w:tcW w:type="dxa" w:w="234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0.9%</w:t>
            </w:r>
          </w:p>
        </w:tc>
      </w:tr>
    </w:tbl>
    <w:p>
      <w:pPr>
        <w:bidi/>
        <w:spacing w:after="80" w:before="80"/>
        <w:jc w:val="right"/>
      </w:pPr>
      <w:r>
        <w:rPr>
          <w:rFonts w:ascii="Arial" w:cs="Arial" w:eastAsia="Arial" w:hAnsi="Arial"/>
          <w:sz w:val="22"/>
          <w:szCs w:val="22"/>
          <w:rtl/>
        </w:rPr>
        <w:t xml:space="preserve"/>
      </w:r>
    </w:p>
    <w:p>
      <w:pPr>
        <w:pStyle w:val="Heading3"/>
        <w:bidi/>
        <w:spacing w:after="100" w:before="160"/>
        <w:jc w:val="right"/>
      </w:pPr>
      <w:r>
        <w:rPr>
          <w:rFonts w:ascii="Arial" w:cs="Arial" w:eastAsia="Arial" w:hAnsi="Arial"/>
          <w:b/>
          <w:bCs/>
          <w:color w:val="2E75B6"/>
          <w:sz w:val="24"/>
          <w:szCs w:val="24"/>
          <w:rtl/>
        </w:rPr>
        <w:t xml:space="preserve">توزيع فئات الملفات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الفئة</w:t>
            </w:r>
          </w:p>
        </w:tc>
        <w:tc>
          <w:tcPr>
            <w:tcW w:type="dxa" w:w="234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العدد</w:t>
            </w:r>
          </w:p>
        </w:tc>
        <w:tc>
          <w:tcPr>
            <w:tcW w:type="dxa" w:w="234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النسبة</w:t>
            </w:r>
          </w:p>
        </w:tc>
      </w:tr>
      <w:tr>
        <w:tc>
          <w:tcPr>
            <w:tcW w:type="dxa" w:w="46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فئة د</w:t>
            </w:r>
          </w:p>
        </w:tc>
        <w:tc>
          <w:tcPr>
            <w:tcW w:type="dxa" w:w="234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1,033</w:t>
            </w:r>
          </w:p>
        </w:tc>
        <w:tc>
          <w:tcPr>
            <w:tcW w:type="dxa" w:w="234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43.5%</w:t>
            </w:r>
          </w:p>
        </w:tc>
      </w:tr>
      <w:tr>
        <w:tc>
          <w:tcPr>
            <w:tcW w:type="dxa" w:w="46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فئة ج</w:t>
            </w:r>
          </w:p>
        </w:tc>
        <w:tc>
          <w:tcPr>
            <w:tcW w:type="dxa" w:w="234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738</w:t>
            </w:r>
          </w:p>
        </w:tc>
        <w:tc>
          <w:tcPr>
            <w:tcW w:type="dxa" w:w="234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31.1%</w:t>
            </w:r>
          </w:p>
        </w:tc>
      </w:tr>
      <w:tr>
        <w:tc>
          <w:tcPr>
            <w:tcW w:type="dxa" w:w="46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فئة أ</w:t>
            </w:r>
          </w:p>
        </w:tc>
        <w:tc>
          <w:tcPr>
            <w:tcW w:type="dxa" w:w="234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325</w:t>
            </w:r>
          </w:p>
        </w:tc>
        <w:tc>
          <w:tcPr>
            <w:tcW w:type="dxa" w:w="234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13.7%</w:t>
            </w:r>
          </w:p>
        </w:tc>
      </w:tr>
      <w:tr>
        <w:tc>
          <w:tcPr>
            <w:tcW w:type="dxa" w:w="46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فئة ب</w:t>
            </w:r>
          </w:p>
        </w:tc>
        <w:tc>
          <w:tcPr>
            <w:tcW w:type="dxa" w:w="234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270</w:t>
            </w:r>
          </w:p>
        </w:tc>
        <w:tc>
          <w:tcPr>
            <w:tcW w:type="dxa" w:w="234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11.4%</w:t>
            </w:r>
          </w:p>
        </w:tc>
      </w:tr>
      <w:tr>
        <w:tc>
          <w:tcPr>
            <w:tcW w:type="dxa" w:w="46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مؤقت</w:t>
            </w:r>
          </w:p>
        </w:tc>
        <w:tc>
          <w:tcPr>
            <w:tcW w:type="dxa" w:w="234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9</w:t>
            </w:r>
          </w:p>
        </w:tc>
        <w:tc>
          <w:tcPr>
            <w:tcW w:type="dxa" w:w="234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0.4%</w:t>
            </w:r>
          </w:p>
        </w:tc>
      </w:tr>
    </w:tbl>
    <w:p>
      <w:pPr>
        <w:bidi/>
        <w:spacing w:after="80" w:before="80"/>
        <w:jc w:val="right"/>
      </w:pPr>
      <w:r>
        <w:rPr>
          <w:rFonts w:ascii="Arial" w:cs="Arial" w:eastAsia="Arial" w:hAnsi="Arial"/>
          <w:sz w:val="22"/>
          <w:szCs w:val="22"/>
          <w:rtl/>
        </w:rPr>
        <w:t xml:space="preserve"/>
      </w:r>
    </w:p>
    <w:p>
      <w:pPr>
        <w:pStyle w:val="Heading3"/>
        <w:bidi/>
        <w:spacing w:after="100" w:before="160"/>
        <w:jc w:val="right"/>
      </w:pPr>
      <w:r>
        <w:rPr>
          <w:rFonts w:ascii="Arial" w:cs="Arial" w:eastAsia="Arial" w:hAnsi="Arial"/>
          <w:b/>
          <w:bCs/>
          <w:color w:val="2E75B6"/>
          <w:sz w:val="24"/>
          <w:szCs w:val="24"/>
          <w:rtl/>
        </w:rPr>
        <w:t xml:space="preserve">التركيبة الديموغرافية</w:t>
      </w:r>
    </w:p>
    <w:p>
      <w:pPr>
        <w:pStyle w:val="ListParagraph"/>
        <w:numPr>
          <w:ilvl w:val="0"/>
          <w:numId w:val="2"/>
        </w:numPr>
        <w:bidi/>
        <w:spacing w:after="60" w:before="60"/>
        <w:jc w:val="right"/>
      </w:pPr>
      <w:r>
        <w:rPr>
          <w:rFonts w:ascii="Arial" w:cs="Arial" w:eastAsia="Arial" w:hAnsi="Arial"/>
          <w:sz w:val="22"/>
          <w:szCs w:val="22"/>
          <w:rtl/>
        </w:rPr>
        <w:t xml:space="preserve">الجنس: 1,544 أنثى (65%) · 831 ذكر (35%)</w:t>
      </w:r>
    </w:p>
    <w:p>
      <w:pPr>
        <w:pStyle w:val="ListParagraph"/>
        <w:numPr>
          <w:ilvl w:val="0"/>
          <w:numId w:val="2"/>
        </w:numPr>
        <w:bidi/>
        <w:spacing w:after="60" w:before="60"/>
        <w:jc w:val="right"/>
      </w:pPr>
      <w:r>
        <w:rPr>
          <w:rFonts w:ascii="Arial" w:cs="Arial" w:eastAsia="Arial" w:hAnsi="Arial"/>
          <w:sz w:val="22"/>
          <w:szCs w:val="22"/>
          <w:rtl/>
        </w:rPr>
        <w:t xml:space="preserve">الحالة الاجتماعية: 638 أرملة · 631 متزوج · 621 مطلقة · 178 عزباء</w:t>
      </w:r>
    </w:p>
    <w:p>
      <w:pPr>
        <w:pStyle w:val="ListParagraph"/>
        <w:numPr>
          <w:ilvl w:val="0"/>
          <w:numId w:val="2"/>
        </w:numPr>
        <w:bidi/>
        <w:spacing w:after="60" w:before="60"/>
        <w:jc w:val="right"/>
      </w:pPr>
      <w:r>
        <w:rPr>
          <w:rFonts w:ascii="Arial" w:cs="Arial" w:eastAsia="Arial" w:hAnsi="Arial"/>
          <w:sz w:val="22"/>
          <w:szCs w:val="22"/>
          <w:rtl/>
        </w:rPr>
        <w:t xml:space="preserve">نسبة الأسر التي تعيلها امرأة (أرملة + مطلقة): 53% — أولوية مؤسسية</w:t>
      </w:r>
    </w:p>
    <w:p>
      <w:pPr>
        <w:pStyle w:val="ListParagraph"/>
        <w:numPr>
          <w:ilvl w:val="0"/>
          <w:numId w:val="2"/>
        </w:numPr>
        <w:bidi/>
        <w:spacing w:after="60" w:before="60"/>
        <w:jc w:val="right"/>
      </w:pPr>
      <w:r>
        <w:rPr>
          <w:rFonts w:ascii="Arial" w:cs="Arial" w:eastAsia="Arial" w:hAnsi="Arial"/>
          <w:sz w:val="22"/>
          <w:szCs w:val="22"/>
          <w:rtl/>
        </w:rPr>
        <w:t xml:space="preserve">إجمالي الأيتام في كل الملفات: 785 يتيماً</w:t>
      </w:r>
    </w:p>
    <w:p>
      <w:pPr>
        <w:pStyle w:val="ListParagraph"/>
        <w:numPr>
          <w:ilvl w:val="0"/>
          <w:numId w:val="2"/>
        </w:numPr>
        <w:bidi/>
        <w:spacing w:after="60" w:before="60"/>
        <w:jc w:val="right"/>
      </w:pPr>
      <w:r>
        <w:rPr>
          <w:rFonts w:ascii="Arial" w:cs="Arial" w:eastAsia="Arial" w:hAnsi="Arial"/>
          <w:sz w:val="22"/>
          <w:szCs w:val="22"/>
          <w:rtl/>
        </w:rPr>
        <w:t xml:space="preserve">ملفات تحتاج كفالة فعلياً: 72 ملف (54 يتيماً يحتاج كفالة)</w:t>
      </w:r>
    </w:p>
    <w:p>
      <w:pPr>
        <w:pStyle w:val="Heading3"/>
        <w:bidi/>
        <w:spacing w:after="100" w:before="160"/>
        <w:jc w:val="right"/>
      </w:pPr>
      <w:r>
        <w:rPr>
          <w:rFonts w:ascii="Arial" w:cs="Arial" w:eastAsia="Arial" w:hAnsi="Arial"/>
          <w:b/>
          <w:bCs/>
          <w:color w:val="2E75B6"/>
          <w:sz w:val="24"/>
          <w:szCs w:val="24"/>
          <w:rtl/>
        </w:rPr>
        <w:t xml:space="preserve">الوضع الاقتصادي</w:t>
      </w:r>
    </w:p>
    <w:p>
      <w:pPr>
        <w:pStyle w:val="ListParagraph"/>
        <w:numPr>
          <w:ilvl w:val="0"/>
          <w:numId w:val="2"/>
        </w:numPr>
        <w:bidi/>
        <w:spacing w:after="60" w:before="60"/>
        <w:jc w:val="right"/>
      </w:pPr>
      <w:r>
        <w:rPr>
          <w:rFonts w:ascii="Arial" w:cs="Arial" w:eastAsia="Arial" w:hAnsi="Arial"/>
          <w:sz w:val="22"/>
          <w:szCs w:val="22"/>
          <w:rtl/>
        </w:rPr>
        <w:t xml:space="preserve">عدد الملفات بدخل موثّق: 2,241 (94.4%)</w:t>
      </w:r>
    </w:p>
    <w:p>
      <w:pPr>
        <w:pStyle w:val="ListParagraph"/>
        <w:numPr>
          <w:ilvl w:val="0"/>
          <w:numId w:val="2"/>
        </w:numPr>
        <w:bidi/>
        <w:spacing w:after="60" w:before="60"/>
        <w:jc w:val="right"/>
      </w:pPr>
      <w:r>
        <w:rPr>
          <w:rFonts w:ascii="Arial" w:cs="Arial" w:eastAsia="Arial" w:hAnsi="Arial"/>
          <w:sz w:val="22"/>
          <w:szCs w:val="22"/>
          <w:rtl/>
        </w:rPr>
        <w:t xml:space="preserve">متوسط دخل الأسرة الشهري: 4,334 ريال</w:t>
      </w:r>
    </w:p>
    <w:p>
      <w:pPr>
        <w:pStyle w:val="ListParagraph"/>
        <w:numPr>
          <w:ilvl w:val="0"/>
          <w:numId w:val="2"/>
        </w:numPr>
        <w:bidi/>
        <w:spacing w:after="60" w:before="60"/>
        <w:jc w:val="right"/>
      </w:pPr>
      <w:r>
        <w:rPr>
          <w:rFonts w:ascii="Arial" w:cs="Arial" w:eastAsia="Arial" w:hAnsi="Arial"/>
          <w:sz w:val="22"/>
          <w:szCs w:val="22"/>
          <w:rtl/>
        </w:rPr>
        <w:t xml:space="preserve">الوسيط: 3,946 ريال</w:t>
      </w:r>
    </w:p>
    <w:p>
      <w:pPr>
        <w:pStyle w:val="ListParagraph"/>
        <w:numPr>
          <w:ilvl w:val="0"/>
          <w:numId w:val="2"/>
        </w:numPr>
        <w:bidi/>
        <w:spacing w:after="60" w:before="60"/>
        <w:jc w:val="right"/>
      </w:pPr>
      <w:r>
        <w:rPr>
          <w:rFonts w:ascii="Arial" w:cs="Arial" w:eastAsia="Arial" w:hAnsi="Arial"/>
          <w:sz w:val="22"/>
          <w:szCs w:val="22"/>
          <w:rtl/>
        </w:rPr>
        <w:t xml:space="preserve">المدى: 300 - 15,708 ريال</w:t>
      </w:r>
    </w:p>
    <w:p>
      <w:pPr>
        <w:pStyle w:val="ListParagraph"/>
        <w:numPr>
          <w:ilvl w:val="0"/>
          <w:numId w:val="2"/>
        </w:numPr>
        <w:bidi/>
        <w:spacing w:after="60" w:before="60"/>
        <w:jc w:val="right"/>
      </w:pPr>
      <w:r>
        <w:rPr>
          <w:rFonts w:ascii="Arial" w:cs="Arial" w:eastAsia="Arial" w:hAnsi="Arial"/>
          <w:sz w:val="22"/>
          <w:szCs w:val="22"/>
          <w:rtl/>
        </w:rPr>
        <w:t xml:space="preserve">ملاحظة: المتوسط أقل بكثير من خط الفقر الرسمي (~9,000 ريال للأسرة)</w:t>
      </w:r>
    </w:p>
    <w:p>
      <w:pPr>
        <w:pStyle w:val="Heading2"/>
        <w:bidi/>
        <w:spacing w:after="160" w:before="240"/>
        <w:jc w:val="right"/>
      </w:pPr>
      <w:r>
        <w:rPr>
          <w:rFonts w:ascii="Arial" w:cs="Arial" w:eastAsia="Arial" w:hAnsi="Arial"/>
          <w:b/>
          <w:bCs/>
          <w:color w:val="2E75B6"/>
          <w:sz w:val="28"/>
          <w:szCs w:val="28"/>
          <w:rtl/>
        </w:rPr>
        <w:t xml:space="preserve">3.2 الاحتياجات الرئيسية المسجَّلة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الاحتياج</w:t>
            </w:r>
          </w:p>
        </w:tc>
        <w:tc>
          <w:tcPr>
            <w:tcW w:type="dxa" w:w="336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عدد الملفات</w:t>
            </w:r>
          </w:p>
        </w:tc>
      </w:tr>
      <w:tr>
        <w:tc>
          <w:tcPr>
            <w:tcW w:type="dxa" w:w="6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ترميم منزل</w:t>
            </w:r>
          </w:p>
        </w:tc>
        <w:tc>
          <w:tcPr>
            <w:tcW w:type="dxa" w:w="33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148</w:t>
            </w:r>
          </w:p>
        </w:tc>
      </w:tr>
      <w:tr>
        <w:tc>
          <w:tcPr>
            <w:tcW w:type="dxa" w:w="6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توفير مسكن</w:t>
            </w:r>
          </w:p>
        </w:tc>
        <w:tc>
          <w:tcPr>
            <w:tcW w:type="dxa" w:w="33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46</w:t>
            </w:r>
          </w:p>
        </w:tc>
      </w:tr>
      <w:tr>
        <w:tc>
          <w:tcPr>
            <w:tcW w:type="dxa" w:w="6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سداد كهرباء</w:t>
            </w:r>
          </w:p>
        </w:tc>
        <w:tc>
          <w:tcPr>
            <w:tcW w:type="dxa" w:w="33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39</w:t>
            </w:r>
          </w:p>
        </w:tc>
      </w:tr>
      <w:tr>
        <w:tc>
          <w:tcPr>
            <w:tcW w:type="dxa" w:w="6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أجهزة كهربائية (مكيفات/غسالة/ثلاجة)</w:t>
            </w:r>
          </w:p>
        </w:tc>
        <w:tc>
          <w:tcPr>
            <w:tcW w:type="dxa" w:w="33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~200+</w:t>
            </w:r>
          </w:p>
        </w:tc>
      </w:tr>
      <w:tr>
        <w:tc>
          <w:tcPr>
            <w:tcW w:type="dxa" w:w="6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كفالة</w:t>
            </w:r>
          </w:p>
        </w:tc>
        <w:tc>
          <w:tcPr>
            <w:tcW w:type="dxa" w:w="33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72</w:t>
            </w:r>
          </w:p>
        </w:tc>
      </w:tr>
    </w:tbl>
    <w:p>
      <w:pPr>
        <w:bidi/>
        <w:spacing w:after="80" w:before="80"/>
        <w:jc w:val="right"/>
      </w:pPr>
      <w:r>
        <w:rPr>
          <w:rFonts w:ascii="Arial" w:cs="Arial" w:eastAsia="Arial" w:hAnsi="Arial"/>
          <w:sz w:val="22"/>
          <w:szCs w:val="22"/>
          <w:rtl/>
        </w:rPr>
        <w:t xml:space="preserve"/>
      </w:r>
    </w:p>
    <w:p>
      <w:pPr>
        <w:bidi/>
        <w:spacing w:after="80" w:before="80"/>
        <w:jc w:val="right"/>
      </w:pPr>
      <w:r>
        <w:rPr>
          <w:rFonts w:ascii="Arial" w:cs="Arial" w:eastAsia="Arial" w:hAnsi="Arial"/>
          <w:b/>
          <w:bCs/>
          <w:color w:val="1F4E79"/>
          <w:sz w:val="22"/>
          <w:szCs w:val="22"/>
          <w:rtl/>
        </w:rPr>
        <w:t xml:space="preserve">💡 الدلالة الاستراتيجية: الإسكان (ترميم + توفير + كهرباء) يُمثّل أعلى احتياج مُعلَن، ما يستوجب مبادرة مُتخصِّصة في 2027-2028.</w:t>
      </w:r>
    </w:p>
    <w:p>
      <w:r>
        <w:br w:type="page"/>
      </w:r>
    </w:p>
    <w:p>
      <w:pPr>
        <w:pStyle w:val="Heading1"/>
        <w:bidi/>
        <w:spacing w:after="240" w:before="360"/>
        <w:jc w:val="right"/>
      </w:pPr>
      <w:r>
        <w:rPr>
          <w:rFonts w:ascii="Arial" w:cs="Arial" w:eastAsia="Arial" w:hAnsi="Arial"/>
          <w:b/>
          <w:bCs/>
          <w:color w:val="1F4E79"/>
          <w:sz w:val="32"/>
          <w:szCs w:val="32"/>
          <w:rtl/>
        </w:rPr>
        <w:t xml:space="preserve">4. الشفافية في الأرقام: التناقضات المُكتشَفة</w:t>
      </w:r>
    </w:p>
    <w:p>
      <w:pPr>
        <w:bidi/>
        <w:spacing w:after="80" w:before="80"/>
        <w:jc w:val="right"/>
      </w:pPr>
      <w:r>
        <w:rPr>
          <w:rFonts w:ascii="Arial" w:cs="Arial" w:eastAsia="Arial" w:hAnsi="Arial"/>
          <w:sz w:val="22"/>
          <w:szCs w:val="22"/>
          <w:rtl/>
        </w:rPr>
        <w:t xml:space="preserve">عند مقارنة الادّعاءات في الخطة الأولية بالواقع الميداني، اكتُشفت ثلاثة تناقضات تستوجب المعالجة الصريحة قبل العرض الرسمي.</w:t>
      </w:r>
    </w:p>
    <w:p>
      <w:pPr>
        <w:pStyle w:val="Heading2"/>
        <w:bidi/>
        <w:spacing w:after="160" w:before="240"/>
        <w:jc w:val="right"/>
      </w:pPr>
      <w:r>
        <w:rPr>
          <w:rFonts w:ascii="Arial" w:cs="Arial" w:eastAsia="Arial" w:hAnsi="Arial"/>
          <w:b/>
          <w:bCs/>
          <w:color w:val="2E75B6"/>
          <w:sz w:val="28"/>
          <w:szCs w:val="28"/>
          <w:rtl/>
        </w:rPr>
        <w:t xml:space="preserve">4.1 تناقض عدد الأسر المخدومة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في الخطة الأولية</w:t>
            </w:r>
          </w:p>
        </w:tc>
        <w:tc>
          <w:tcPr>
            <w:tcW w:type="dxa" w:w="312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في الواقع</w:t>
            </w:r>
          </w:p>
        </w:tc>
        <w:tc>
          <w:tcPr>
            <w:tcW w:type="dxa" w:w="312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الفجوة</w:t>
            </w:r>
          </w:p>
        </w:tc>
      </w:tr>
      <w:tr>
        <w:tc>
          <w:tcPr>
            <w:tcW w:type="dxa" w:w="312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13,000 أسرة بحلول 2026</w:t>
            </w:r>
          </w:p>
        </w:tc>
        <w:tc>
          <w:tcPr>
            <w:tcW w:type="dxa" w:w="312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b/>
                <w:bCs/>
                <w:sz w:val="20"/>
                <w:szCs w:val="20"/>
                <w:rtl/>
              </w:rPr>
              <w:t xml:space="preserve">2,375 ملف فعلي</w:t>
            </w:r>
          </w:p>
        </w:tc>
        <w:tc>
          <w:tcPr>
            <w:tcW w:type="dxa" w:w="312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color w:val="C00000"/>
                <w:sz w:val="20"/>
                <w:szCs w:val="20"/>
                <w:rtl/>
              </w:rPr>
              <w:t xml:space="preserve">5.5× ضعف</w:t>
            </w:r>
          </w:p>
        </w:tc>
      </w:tr>
    </w:tbl>
    <w:p>
      <w:pPr>
        <w:bidi/>
        <w:spacing w:after="80" w:before="80"/>
        <w:jc w:val="right"/>
      </w:pPr>
      <w:r>
        <w:rPr>
          <w:rFonts w:ascii="Arial" w:cs="Arial" w:eastAsia="Arial" w:hAnsi="Arial"/>
          <w:sz w:val="22"/>
          <w:szCs w:val="22"/>
          <w:rtl/>
        </w:rPr>
        <w:t xml:space="preserve"/>
      </w:r>
    </w:p>
    <w:p>
      <w:pPr>
        <w:bidi/>
        <w:spacing w:after="80" w:before="80"/>
        <w:jc w:val="right"/>
      </w:pPr>
      <w:r>
        <w:rPr>
          <w:rFonts w:ascii="Arial" w:cs="Arial" w:eastAsia="Arial" w:hAnsi="Arial"/>
          <w:b/>
          <w:bCs/>
          <w:sz w:val="22"/>
          <w:szCs w:val="22"/>
          <w:rtl/>
        </w:rPr>
        <w:t xml:space="preserve">المعالجة المعتمدة:</w:t>
      </w:r>
    </w:p>
    <w:p>
      <w:pPr>
        <w:pStyle w:val="ListParagraph"/>
        <w:numPr>
          <w:ilvl w:val="0"/>
          <w:numId w:val="2"/>
        </w:numPr>
        <w:bidi/>
        <w:spacing w:after="60" w:before="60"/>
        <w:jc w:val="right"/>
      </w:pPr>
      <w:r>
        <w:rPr>
          <w:rFonts w:ascii="Arial" w:cs="Arial" w:eastAsia="Arial" w:hAnsi="Arial"/>
          <w:sz w:val="22"/>
          <w:szCs w:val="22"/>
          <w:rtl/>
        </w:rPr>
        <w:t xml:space="preserve">إذا كان الرقم يشمل الخدمات المتراكمة (نفس الأسرة قد تتلقى خدمات متعددة في السنة): يجب توضيح المنهج في الخطة</w:t>
      </w:r>
    </w:p>
    <w:p>
      <w:pPr>
        <w:pStyle w:val="ListParagraph"/>
        <w:numPr>
          <w:ilvl w:val="0"/>
          <w:numId w:val="2"/>
        </w:numPr>
        <w:bidi/>
        <w:spacing w:after="60" w:before="60"/>
        <w:jc w:val="right"/>
      </w:pPr>
      <w:r>
        <w:rPr>
          <w:rFonts w:ascii="Arial" w:cs="Arial" w:eastAsia="Arial" w:hAnsi="Arial"/>
          <w:sz w:val="22"/>
          <w:szCs w:val="22"/>
          <w:rtl/>
        </w:rPr>
        <w:t xml:space="preserve">إذا كان يقصد الملفات الفريدة: يُستبدَل بهدف واقعي = 4,500 ملف بحلول 2030 (نمو 90%)</w:t>
      </w:r>
    </w:p>
    <w:p>
      <w:pPr>
        <w:pStyle w:val="Heading2"/>
        <w:bidi/>
        <w:spacing w:after="160" w:before="240"/>
        <w:jc w:val="right"/>
      </w:pPr>
      <w:r>
        <w:rPr>
          <w:rFonts w:ascii="Arial" w:cs="Arial" w:eastAsia="Arial" w:hAnsi="Arial"/>
          <w:b/>
          <w:bCs/>
          <w:color w:val="2E75B6"/>
          <w:sz w:val="28"/>
          <w:szCs w:val="28"/>
          <w:rtl/>
        </w:rPr>
        <w:t xml:space="preserve">4.2 تناقض كفالة الأيتام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في الخطة الأولية</w:t>
            </w:r>
          </w:p>
        </w:tc>
        <w:tc>
          <w:tcPr>
            <w:tcW w:type="dxa" w:w="312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في الواقع</w:t>
            </w:r>
          </w:p>
        </w:tc>
        <w:tc>
          <w:tcPr>
            <w:tcW w:type="dxa" w:w="312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الفجوة</w:t>
            </w:r>
          </w:p>
        </w:tc>
      </w:tr>
      <w:tr>
        <w:tc>
          <w:tcPr>
            <w:tcW w:type="dxa" w:w="312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كفالة 870 يتيم</w:t>
            </w:r>
          </w:p>
        </w:tc>
        <w:tc>
          <w:tcPr>
            <w:tcW w:type="dxa" w:w="312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b/>
                <w:bCs/>
                <w:sz w:val="20"/>
                <w:szCs w:val="20"/>
                <w:rtl/>
              </w:rPr>
              <w:t xml:space="preserve">72 ملف يطلب كفالة (54 يتيماً)</w:t>
            </w:r>
          </w:p>
        </w:tc>
        <w:tc>
          <w:tcPr>
            <w:tcW w:type="dxa" w:w="312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color w:val="C00000"/>
                <w:sz w:val="20"/>
                <w:szCs w:val="20"/>
                <w:rtl/>
              </w:rPr>
              <w:t xml:space="preserve">16× ضعف</w:t>
            </w:r>
          </w:p>
        </w:tc>
      </w:tr>
    </w:tbl>
    <w:p>
      <w:pPr>
        <w:bidi/>
        <w:spacing w:after="80" w:before="80"/>
        <w:jc w:val="right"/>
      </w:pPr>
      <w:r>
        <w:rPr>
          <w:rFonts w:ascii="Arial" w:cs="Arial" w:eastAsia="Arial" w:hAnsi="Arial"/>
          <w:sz w:val="22"/>
          <w:szCs w:val="22"/>
          <w:rtl/>
        </w:rPr>
        <w:t xml:space="preserve"/>
      </w:r>
    </w:p>
    <w:p>
      <w:pPr>
        <w:bidi/>
        <w:spacing w:after="80" w:before="80"/>
        <w:jc w:val="right"/>
      </w:pPr>
      <w:r>
        <w:rPr>
          <w:rFonts w:ascii="Arial" w:cs="Arial" w:eastAsia="Arial" w:hAnsi="Arial"/>
          <w:b/>
          <w:bCs/>
          <w:sz w:val="22"/>
          <w:szCs w:val="22"/>
          <w:rtl/>
        </w:rPr>
        <w:t xml:space="preserve">المعالجة المعتمدة: تعديل الهدف إلى "كفالة 200 يتيم بحلول 2027" — تضاعف 4× من الواقع، وهو طموح قابل للتحقق.</w:t>
      </w:r>
    </w:p>
    <w:p>
      <w:pPr>
        <w:pStyle w:val="Heading2"/>
        <w:bidi/>
        <w:spacing w:after="160" w:before="240"/>
        <w:jc w:val="right"/>
      </w:pPr>
      <w:r>
        <w:rPr>
          <w:rFonts w:ascii="Arial" w:cs="Arial" w:eastAsia="Arial" w:hAnsi="Arial"/>
          <w:b/>
          <w:bCs/>
          <w:color w:val="2E75B6"/>
          <w:sz w:val="28"/>
          <w:szCs w:val="28"/>
          <w:rtl/>
        </w:rPr>
        <w:t xml:space="preserve">4.3 خط الأساس المالي 2025 — مُؤكَّد رسمياً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البند</w:t>
            </w:r>
          </w:p>
        </w:tc>
        <w:tc>
          <w:tcPr>
            <w:tcW w:type="dxa" w:w="468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القيمة (ريال)</w:t>
            </w:r>
          </w:p>
        </w:tc>
      </w:tr>
      <w:tr>
        <w:tc>
          <w:tcPr>
            <w:tcW w:type="dxa" w:w="46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إجمالي الإيرادات</w:t>
            </w:r>
          </w:p>
        </w:tc>
        <w:tc>
          <w:tcPr>
            <w:tcW w:type="dxa" w:w="46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b/>
                <w:bCs/>
                <w:sz w:val="20"/>
                <w:szCs w:val="20"/>
                <w:rtl/>
              </w:rPr>
              <w:t xml:space="preserve">11,309,157</w:t>
            </w:r>
          </w:p>
        </w:tc>
      </w:tr>
      <w:tr>
        <w:tc>
          <w:tcPr>
            <w:tcW w:type="dxa" w:w="46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إجمالي المصروفات</w:t>
            </w:r>
          </w:p>
        </w:tc>
        <w:tc>
          <w:tcPr>
            <w:tcW w:type="dxa" w:w="46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10,641,351</w:t>
            </w:r>
          </w:p>
        </w:tc>
      </w:tr>
      <w:tr>
        <w:tc>
          <w:tcPr>
            <w:tcW w:type="dxa" w:w="46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صافي الفائض</w:t>
            </w:r>
          </w:p>
        </w:tc>
        <w:tc>
          <w:tcPr>
            <w:tcW w:type="dxa" w:w="46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b/>
                <w:bCs/>
                <w:color w:val="006100"/>
                <w:sz w:val="20"/>
                <w:szCs w:val="20"/>
                <w:rtl/>
              </w:rPr>
              <w:t xml:space="preserve">667,806 (فائض)</w:t>
            </w:r>
          </w:p>
        </w:tc>
      </w:tr>
      <w:tr>
        <w:tc>
          <w:tcPr>
            <w:tcW w:type="dxa" w:w="46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صافي الأصول</w:t>
            </w:r>
          </w:p>
        </w:tc>
        <w:tc>
          <w:tcPr>
            <w:tcW w:type="dxa" w:w="46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7,837,407</w:t>
            </w:r>
          </w:p>
        </w:tc>
      </w:tr>
      <w:tr>
        <w:tc>
          <w:tcPr>
            <w:tcW w:type="dxa" w:w="46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الموارد الذاتية</w:t>
            </w:r>
          </w:p>
        </w:tc>
        <w:tc>
          <w:tcPr>
            <w:tcW w:type="dxa" w:w="46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964,203 (8.5%)</w:t>
            </w:r>
          </w:p>
        </w:tc>
      </w:tr>
      <w:tr>
        <w:tc>
          <w:tcPr>
            <w:tcW w:type="dxa" w:w="46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إيرادات معاهد شعاع المعالي</w:t>
            </w:r>
          </w:p>
        </w:tc>
        <w:tc>
          <w:tcPr>
            <w:tcW w:type="dxa" w:w="46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409,685</w:t>
            </w:r>
          </w:p>
        </w:tc>
      </w:tr>
      <w:tr>
        <w:tc>
          <w:tcPr>
            <w:tcW w:type="dxa" w:w="46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نسبة مصروفات البرامج من الإيرادات</w:t>
            </w:r>
          </w:p>
        </w:tc>
        <w:tc>
          <w:tcPr>
            <w:tcW w:type="dxa" w:w="46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color w:val="006100"/>
                <w:sz w:val="20"/>
                <w:szCs w:val="20"/>
                <w:rtl/>
              </w:rPr>
              <w:t xml:space="preserve">88.4% — ✅ يفوق المعيار</w:t>
            </w:r>
          </w:p>
        </w:tc>
      </w:tr>
    </w:tbl>
    <w:p>
      <w:pPr>
        <w:bidi/>
        <w:spacing w:after="80" w:before="80"/>
        <w:jc w:val="right"/>
      </w:pPr>
      <w:r>
        <w:rPr>
          <w:rFonts w:ascii="Arial" w:cs="Arial" w:eastAsia="Arial" w:hAnsi="Arial"/>
          <w:color w:val="595959"/>
          <w:sz w:val="18"/>
          <w:szCs w:val="18"/>
          <w:rtl/>
        </w:rPr>
        <w:t xml:space="preserve">المصدر: التقرير المالي الرسمي 2025 — جمعية البر بصبيا</w:t>
      </w:r>
    </w:p>
    <w:p>
      <w:pPr>
        <w:bidi/>
        <w:spacing w:after="80" w:before="80"/>
        <w:jc w:val="right"/>
      </w:pPr>
      <w:r>
        <w:rPr>
          <w:rFonts w:ascii="Arial" w:cs="Arial" w:eastAsia="Arial" w:hAnsi="Arial"/>
          <w:b/>
          <w:bCs/>
          <w:color w:val="006100"/>
          <w:sz w:val="22"/>
          <w:szCs w:val="22"/>
          <w:rtl/>
        </w:rPr>
        <w:t xml:space="preserve">💡 ملاحظة هامة: نسبة مصروفات البرامج 88.4% تفوق المعيار الدولي للقطاع غير الربحي (80%) — مؤشر صحة مالية ممتاز.</w:t>
      </w:r>
    </w:p>
    <w:p>
      <w:r>
        <w:br w:type="page"/>
      </w:r>
    </w:p>
    <w:p>
      <w:pPr>
        <w:pStyle w:val="Heading1"/>
        <w:bidi/>
        <w:spacing w:after="240" w:before="360"/>
        <w:jc w:val="right"/>
      </w:pPr>
      <w:r>
        <w:rPr>
          <w:rFonts w:ascii="Arial" w:cs="Arial" w:eastAsia="Arial" w:hAnsi="Arial"/>
          <w:b/>
          <w:bCs/>
          <w:color w:val="1F4E79"/>
          <w:sz w:val="32"/>
          <w:szCs w:val="32"/>
          <w:rtl/>
        </w:rPr>
        <w:t xml:space="preserve">5. المستهدفات السنوية للسنوات الخمس</w:t>
      </w:r>
    </w:p>
    <w:p>
      <w:pPr>
        <w:bidi/>
        <w:spacing w:after="80" w:before="80"/>
        <w:jc w:val="right"/>
      </w:pPr>
      <w:r>
        <w:rPr>
          <w:rFonts w:ascii="Arial" w:cs="Arial" w:eastAsia="Arial" w:hAnsi="Arial"/>
          <w:sz w:val="22"/>
          <w:szCs w:val="22"/>
          <w:rtl/>
        </w:rPr>
        <w:t xml:space="preserve">اعتمدت الخطة نموذج النمو المتسارع: نمو معتدل في 2026-2027 (مرحلة بناء قدرات)، ثم نمو متسارع في 2028-2030 (مرحلة الحصاد). يعكس هذا واقع المنظمات الناشئة في القطاع الثالث.</w:t>
      </w:r>
    </w:p>
    <w:p>
      <w:pPr>
        <w:pStyle w:val="Heading2"/>
        <w:bidi/>
        <w:spacing w:after="160" w:before="240"/>
        <w:jc w:val="right"/>
      </w:pPr>
      <w:r>
        <w:rPr>
          <w:rFonts w:ascii="Arial" w:cs="Arial" w:eastAsia="Arial" w:hAnsi="Arial"/>
          <w:b/>
          <w:bCs/>
          <w:color w:val="2E75B6"/>
          <w:sz w:val="28"/>
          <w:szCs w:val="28"/>
          <w:rtl/>
        </w:rPr>
        <w:t xml:space="preserve">5.1 المؤشرات المالية (مُؤكَّدة من التقرير المالي 2025)</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640"/>
        <w:gridCol w:w="880"/>
        <w:gridCol w:w="880"/>
        <w:gridCol w:w="880"/>
        <w:gridCol w:w="880"/>
        <w:gridCol w:w="800"/>
      </w:tblGrid>
      <w:tr>
        <w:tc>
          <w:tcPr>
            <w:tcW w:type="dxa" w:w="240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المؤشر</w:t>
            </w:r>
          </w:p>
        </w:tc>
        <w:tc>
          <w:tcPr>
            <w:tcW w:type="dxa" w:w="164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خط الأساس 2025</w:t>
            </w:r>
          </w:p>
        </w:tc>
        <w:tc>
          <w:tcPr>
            <w:tcW w:type="dxa" w:w="88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2026</w:t>
            </w:r>
          </w:p>
        </w:tc>
        <w:tc>
          <w:tcPr>
            <w:tcW w:type="dxa" w:w="88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2027</w:t>
            </w:r>
          </w:p>
        </w:tc>
        <w:tc>
          <w:tcPr>
            <w:tcW w:type="dxa" w:w="88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2028</w:t>
            </w:r>
          </w:p>
        </w:tc>
        <w:tc>
          <w:tcPr>
            <w:tcW w:type="dxa" w:w="88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2029</w:t>
            </w:r>
          </w:p>
        </w:tc>
        <w:tc>
          <w:tcPr>
            <w:tcW w:type="dxa" w:w="80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2030</w:t>
            </w:r>
          </w:p>
        </w:tc>
      </w:tr>
      <w:tr>
        <w:tc>
          <w:tcPr>
            <w:tcW w:type="dxa" w:w="24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إجمالي الإيرادات (M ريال)</w:t>
            </w:r>
          </w:p>
        </w:tc>
        <w:tc>
          <w:tcPr>
            <w:tcW w:type="dxa" w:w="164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11.3</w:t>
            </w:r>
          </w:p>
        </w:tc>
        <w:tc>
          <w:tcPr>
            <w:tcW w:type="dxa" w:w="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12.1</w:t>
            </w:r>
          </w:p>
        </w:tc>
        <w:tc>
          <w:tcPr>
            <w:tcW w:type="dxa" w:w="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13.0</w:t>
            </w:r>
          </w:p>
        </w:tc>
        <w:tc>
          <w:tcPr>
            <w:tcW w:type="dxa" w:w="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14.0</w:t>
            </w:r>
          </w:p>
        </w:tc>
        <w:tc>
          <w:tcPr>
            <w:tcW w:type="dxa" w:w="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15.2</w:t>
            </w:r>
          </w:p>
        </w:tc>
        <w:tc>
          <w:tcPr>
            <w:tcW w:type="dxa" w:w="8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16.6</w:t>
            </w:r>
          </w:p>
        </w:tc>
      </w:tr>
      <w:tr>
        <w:tc>
          <w:tcPr>
            <w:tcW w:type="dxa" w:w="24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نسبة الموارد الذاتية</w:t>
            </w:r>
          </w:p>
        </w:tc>
        <w:tc>
          <w:tcPr>
            <w:tcW w:type="dxa" w:w="164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8.5%</w:t>
            </w:r>
          </w:p>
        </w:tc>
        <w:tc>
          <w:tcPr>
            <w:tcW w:type="dxa" w:w="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13%</w:t>
            </w:r>
          </w:p>
        </w:tc>
        <w:tc>
          <w:tcPr>
            <w:tcW w:type="dxa" w:w="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17%</w:t>
            </w:r>
          </w:p>
        </w:tc>
        <w:tc>
          <w:tcPr>
            <w:tcW w:type="dxa" w:w="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21%</w:t>
            </w:r>
          </w:p>
        </w:tc>
        <w:tc>
          <w:tcPr>
            <w:tcW w:type="dxa" w:w="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26%</w:t>
            </w:r>
          </w:p>
        </w:tc>
        <w:tc>
          <w:tcPr>
            <w:tcW w:type="dxa" w:w="8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30%</w:t>
            </w:r>
          </w:p>
        </w:tc>
      </w:tr>
      <w:tr>
        <w:tc>
          <w:tcPr>
            <w:tcW w:type="dxa" w:w="24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عدد مصادر الإيرادات</w:t>
            </w:r>
          </w:p>
        </w:tc>
        <w:tc>
          <w:tcPr>
            <w:tcW w:type="dxa" w:w="164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5</w:t>
            </w:r>
          </w:p>
        </w:tc>
        <w:tc>
          <w:tcPr>
            <w:tcW w:type="dxa" w:w="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7</w:t>
            </w:r>
          </w:p>
        </w:tc>
        <w:tc>
          <w:tcPr>
            <w:tcW w:type="dxa" w:w="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8</w:t>
            </w:r>
          </w:p>
        </w:tc>
        <w:tc>
          <w:tcPr>
            <w:tcW w:type="dxa" w:w="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8</w:t>
            </w:r>
          </w:p>
        </w:tc>
        <w:tc>
          <w:tcPr>
            <w:tcW w:type="dxa" w:w="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9</w:t>
            </w:r>
          </w:p>
        </w:tc>
        <w:tc>
          <w:tcPr>
            <w:tcW w:type="dxa" w:w="8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9</w:t>
            </w:r>
          </w:p>
        </w:tc>
      </w:tr>
      <w:tr>
        <w:tc>
          <w:tcPr>
            <w:tcW w:type="dxa" w:w="24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إيرادات معاهد شعاع المعالي (K)</w:t>
            </w:r>
          </w:p>
        </w:tc>
        <w:tc>
          <w:tcPr>
            <w:tcW w:type="dxa" w:w="164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410</w:t>
            </w:r>
          </w:p>
        </w:tc>
        <w:tc>
          <w:tcPr>
            <w:tcW w:type="dxa" w:w="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500</w:t>
            </w:r>
          </w:p>
        </w:tc>
        <w:tc>
          <w:tcPr>
            <w:tcW w:type="dxa" w:w="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700</w:t>
            </w:r>
          </w:p>
        </w:tc>
        <w:tc>
          <w:tcPr>
            <w:tcW w:type="dxa" w:w="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1,000</w:t>
            </w:r>
          </w:p>
        </w:tc>
        <w:tc>
          <w:tcPr>
            <w:tcW w:type="dxa" w:w="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1,300</w:t>
            </w:r>
          </w:p>
        </w:tc>
        <w:tc>
          <w:tcPr>
            <w:tcW w:type="dxa" w:w="8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1,600</w:t>
            </w:r>
          </w:p>
        </w:tc>
      </w:tr>
      <w:tr>
        <w:tc>
          <w:tcPr>
            <w:tcW w:type="dxa" w:w="24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الفائض السنوي (K ريال)</w:t>
            </w:r>
          </w:p>
        </w:tc>
        <w:tc>
          <w:tcPr>
            <w:tcW w:type="dxa" w:w="164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668</w:t>
            </w:r>
          </w:p>
        </w:tc>
        <w:tc>
          <w:tcPr>
            <w:tcW w:type="dxa" w:w="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700</w:t>
            </w:r>
          </w:p>
        </w:tc>
        <w:tc>
          <w:tcPr>
            <w:tcW w:type="dxa" w:w="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750</w:t>
            </w:r>
          </w:p>
        </w:tc>
        <w:tc>
          <w:tcPr>
            <w:tcW w:type="dxa" w:w="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800</w:t>
            </w:r>
          </w:p>
        </w:tc>
        <w:tc>
          <w:tcPr>
            <w:tcW w:type="dxa" w:w="8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850</w:t>
            </w:r>
          </w:p>
        </w:tc>
        <w:tc>
          <w:tcPr>
            <w:tcW w:type="dxa" w:w="8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900</w:t>
            </w:r>
          </w:p>
        </w:tc>
      </w:tr>
    </w:tbl>
    <w:p>
      <w:pPr>
        <w:bidi/>
        <w:spacing w:after="80" w:before="80"/>
        <w:jc w:val="right"/>
      </w:pPr>
      <w:r>
        <w:rPr>
          <w:rFonts w:ascii="Arial" w:cs="Arial" w:eastAsia="Arial" w:hAnsi="Arial"/>
          <w:color w:val="595959"/>
          <w:sz w:val="18"/>
          <w:szCs w:val="18"/>
          <w:rtl/>
        </w:rPr>
        <w:t xml:space="preserve">المصدر: التقرير المالي الرسمي 2025 — جمعية البر بصبيا</w:t>
      </w:r>
    </w:p>
    <w:p>
      <w:pPr>
        <w:pStyle w:val="Heading2"/>
        <w:bidi/>
        <w:spacing w:after="160" w:before="240"/>
        <w:jc w:val="right"/>
      </w:pPr>
      <w:r>
        <w:rPr>
          <w:rFonts w:ascii="Arial" w:cs="Arial" w:eastAsia="Arial" w:hAnsi="Arial"/>
          <w:b/>
          <w:bCs/>
          <w:color w:val="2E75B6"/>
          <w:sz w:val="28"/>
          <w:szCs w:val="28"/>
          <w:rtl/>
        </w:rPr>
        <w:t xml:space="preserve">5.2 مؤشرات الأثر الاجتماعي</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850"/>
        <w:gridCol w:w="850"/>
        <w:gridCol w:w="850"/>
        <w:gridCol w:w="850"/>
        <w:gridCol w:w="850"/>
      </w:tblGrid>
      <w:tr>
        <w:tc>
          <w:tcPr>
            <w:tcW w:type="dxa" w:w="260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المؤشر</w:t>
            </w:r>
          </w:p>
        </w:tc>
        <w:tc>
          <w:tcPr>
            <w:tcW w:type="dxa" w:w="150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خط الأساس 2025</w:t>
            </w:r>
          </w:p>
        </w:tc>
        <w:tc>
          <w:tcPr>
            <w:tcW w:type="dxa" w:w="85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2026</w:t>
            </w:r>
          </w:p>
        </w:tc>
        <w:tc>
          <w:tcPr>
            <w:tcW w:type="dxa" w:w="85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2027</w:t>
            </w:r>
          </w:p>
        </w:tc>
        <w:tc>
          <w:tcPr>
            <w:tcW w:type="dxa" w:w="85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2028</w:t>
            </w:r>
          </w:p>
        </w:tc>
        <w:tc>
          <w:tcPr>
            <w:tcW w:type="dxa" w:w="85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2029</w:t>
            </w:r>
          </w:p>
        </w:tc>
        <w:tc>
          <w:tcPr>
            <w:tcW w:type="dxa" w:w="85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2030</w:t>
            </w:r>
          </w:p>
        </w:tc>
      </w:tr>
      <w:tr>
        <w:tc>
          <w:tcPr>
            <w:tcW w:type="dxa" w:w="26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عدد الأسر المخدومة (ملفات فريدة)</w:t>
            </w:r>
          </w:p>
        </w:tc>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2,375</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2,800</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3,200</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3,700</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4,100</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4,500</w:t>
            </w:r>
          </w:p>
        </w:tc>
      </w:tr>
      <w:tr>
        <w:tc>
          <w:tcPr>
            <w:tcW w:type="dxa" w:w="26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أيتام في برنامج الكفالة</w:t>
            </w:r>
          </w:p>
        </w:tc>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54</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100</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150</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200</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230</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250</w:t>
            </w:r>
          </w:p>
        </w:tc>
      </w:tr>
      <w:tr>
        <w:tc>
          <w:tcPr>
            <w:tcW w:type="dxa" w:w="26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مستفيدون من حزمة التمكين الكاملة</w:t>
            </w:r>
          </w:p>
        </w:tc>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0</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350</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500</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700</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900</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1,100</w:t>
            </w:r>
          </w:p>
        </w:tc>
      </w:tr>
    </w:tbl>
    <w:p>
      <w:pPr>
        <w:pStyle w:val="Heading2"/>
        <w:bidi/>
        <w:spacing w:after="160" w:before="240"/>
        <w:jc w:val="right"/>
      </w:pPr>
      <w:r>
        <w:rPr>
          <w:rFonts w:ascii="Arial" w:cs="Arial" w:eastAsia="Arial" w:hAnsi="Arial"/>
          <w:b/>
          <w:bCs/>
          <w:color w:val="2E75B6"/>
          <w:sz w:val="28"/>
          <w:szCs w:val="28"/>
          <w:rtl/>
        </w:rPr>
        <w:t xml:space="preserve">5.3 مؤشرات التحوّل المؤسسي</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850"/>
        <w:gridCol w:w="850"/>
        <w:gridCol w:w="850"/>
        <w:gridCol w:w="850"/>
        <w:gridCol w:w="850"/>
      </w:tblGrid>
      <w:tr>
        <w:tc>
          <w:tcPr>
            <w:tcW w:type="dxa" w:w="260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المؤشر</w:t>
            </w:r>
          </w:p>
        </w:tc>
        <w:tc>
          <w:tcPr>
            <w:tcW w:type="dxa" w:w="150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خط الأساس 2025</w:t>
            </w:r>
          </w:p>
        </w:tc>
        <w:tc>
          <w:tcPr>
            <w:tcW w:type="dxa" w:w="85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2026</w:t>
            </w:r>
          </w:p>
        </w:tc>
        <w:tc>
          <w:tcPr>
            <w:tcW w:type="dxa" w:w="85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2027</w:t>
            </w:r>
          </w:p>
        </w:tc>
        <w:tc>
          <w:tcPr>
            <w:tcW w:type="dxa" w:w="85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2028</w:t>
            </w:r>
          </w:p>
        </w:tc>
        <w:tc>
          <w:tcPr>
            <w:tcW w:type="dxa" w:w="85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2029</w:t>
            </w:r>
          </w:p>
        </w:tc>
        <w:tc>
          <w:tcPr>
            <w:tcW w:type="dxa" w:w="85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2030</w:t>
            </w:r>
          </w:p>
        </w:tc>
      </w:tr>
      <w:tr>
        <w:tc>
          <w:tcPr>
            <w:tcW w:type="dxa" w:w="26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نسبة الأتمتة الرقمية</w:t>
            </w:r>
          </w:p>
        </w:tc>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90%</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92%</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93%</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94%</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94.5%</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95%</w:t>
            </w:r>
          </w:p>
        </w:tc>
      </w:tr>
      <w:tr>
        <w:tc>
          <w:tcPr>
            <w:tcW w:type="dxa" w:w="26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الشراكات الفعّالة</w:t>
            </w:r>
          </w:p>
        </w:tc>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18</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28</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36</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44</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52</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60</w:t>
            </w:r>
          </w:p>
        </w:tc>
      </w:tr>
      <w:tr>
        <w:tc>
          <w:tcPr>
            <w:tcW w:type="dxa" w:w="26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متوسط ساعات تدريب/موظف</w:t>
            </w:r>
          </w:p>
        </w:tc>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~5</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20</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20</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20</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20</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20</w:t>
            </w:r>
          </w:p>
        </w:tc>
      </w:tr>
      <w:tr>
        <w:tc>
          <w:tcPr>
            <w:tcW w:type="dxa" w:w="26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ساعات التطوع المنفَّذة سنوياً</w:t>
            </w:r>
          </w:p>
        </w:tc>
        <w:tc>
          <w:tcPr>
            <w:tcW w:type="dxa" w:w="15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~3K*</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10K</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15K</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20K</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25K</w:t>
            </w:r>
          </w:p>
        </w:tc>
        <w:tc>
          <w:tcPr>
            <w:tcW w:type="dxa" w:w="85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30K</w:t>
            </w:r>
          </w:p>
        </w:tc>
      </w:tr>
    </w:tbl>
    <w:p>
      <w:r>
        <w:br w:type="page"/>
      </w:r>
    </w:p>
    <w:p>
      <w:pPr>
        <w:pStyle w:val="Heading1"/>
        <w:bidi/>
        <w:spacing w:after="240" w:before="360"/>
        <w:jc w:val="right"/>
      </w:pPr>
      <w:r>
        <w:rPr>
          <w:rFonts w:ascii="Arial" w:cs="Arial" w:eastAsia="Arial" w:hAnsi="Arial"/>
          <w:b/>
          <w:bCs/>
          <w:color w:val="1F4E79"/>
          <w:sz w:val="32"/>
          <w:szCs w:val="32"/>
          <w:rtl/>
        </w:rPr>
        <w:t xml:space="preserve">6. المبادرات الفعّالة (21 مبادرة)</w:t>
      </w:r>
    </w:p>
    <w:p>
      <w:pPr>
        <w:bidi/>
        <w:spacing w:after="80" w:before="80"/>
        <w:jc w:val="right"/>
      </w:pPr>
      <w:r>
        <w:rPr>
          <w:rFonts w:ascii="Arial" w:cs="Arial" w:eastAsia="Arial" w:hAnsi="Arial"/>
          <w:sz w:val="22"/>
          <w:szCs w:val="22"/>
          <w:rtl/>
        </w:rPr>
        <w:t xml:space="preserve">بعد تطبيق فلتر القبول الخماسي على 23 مبادرة أوّلية، أُسقطت 4 مبادرات (دمج وتأجيل) وأُعيدت صياغة 7 مبادرات بمخرجات قابلة للقياس. النتيجة: 21 مبادرة فعّالة موزّعة كالتالي:</w:t>
      </w:r>
    </w:p>
    <w:p>
      <w:pPr>
        <w:pStyle w:val="Heading2"/>
        <w:bidi/>
        <w:spacing w:after="160" w:before="240"/>
        <w:jc w:val="right"/>
      </w:pPr>
      <w:r>
        <w:rPr>
          <w:rFonts w:ascii="Arial" w:cs="Arial" w:eastAsia="Arial" w:hAnsi="Arial"/>
          <w:b/>
          <w:bCs/>
          <w:color w:val="2E75B6"/>
          <w:sz w:val="28"/>
          <w:szCs w:val="28"/>
          <w:rtl/>
        </w:rPr>
        <w:t xml:space="preserve">6.1 مبادرات قيد التنفيذ (6 مبادرات)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1700"/>
        <w:gridCol w:w="2260"/>
      </w:tblGrid>
      <w:tr>
        <w:tc>
          <w:tcPr>
            <w:tcW w:type="dxa" w:w="170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الكود</w:t>
            </w:r>
          </w:p>
        </w:tc>
        <w:tc>
          <w:tcPr>
            <w:tcW w:type="dxa" w:w="370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المبادرة</w:t>
            </w:r>
          </w:p>
        </w:tc>
        <w:tc>
          <w:tcPr>
            <w:tcW w:type="dxa" w:w="170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الهدف</w:t>
            </w:r>
          </w:p>
        </w:tc>
        <w:tc>
          <w:tcPr>
            <w:tcW w:type="dxa" w:w="226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المسؤول</w:t>
            </w:r>
          </w:p>
        </w:tc>
      </w:tr>
      <w:tr>
        <w:tc>
          <w:tcPr>
            <w:tcW w:type="dxa" w:w="1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INI-2026-005</w:t>
            </w:r>
          </w:p>
        </w:tc>
        <w:tc>
          <w:tcPr>
            <w:tcW w:type="dxa" w:w="3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كفالة 200 يتيم بحلول 2027</w:t>
            </w:r>
          </w:p>
        </w:tc>
        <w:tc>
          <w:tcPr>
            <w:tcW w:type="dxa" w:w="1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STR-2026-003</w:t>
            </w:r>
          </w:p>
        </w:tc>
        <w:tc>
          <w:tcPr>
            <w:tcW w:type="dxa" w:w="22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طلال الحربي</w:t>
            </w:r>
          </w:p>
        </w:tc>
      </w:tr>
      <w:tr>
        <w:tc>
          <w:tcPr>
            <w:tcW w:type="dxa" w:w="1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INI-2026-006</w:t>
            </w:r>
          </w:p>
        </w:tc>
        <w:tc>
          <w:tcPr>
            <w:tcW w:type="dxa" w:w="3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توزيع 1500 سلة غذائية شهرياً</w:t>
            </w:r>
          </w:p>
        </w:tc>
        <w:tc>
          <w:tcPr>
            <w:tcW w:type="dxa" w:w="1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STR-2026-003</w:t>
            </w:r>
          </w:p>
        </w:tc>
        <w:tc>
          <w:tcPr>
            <w:tcW w:type="dxa" w:w="22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خاتمة محرق</w:t>
            </w:r>
          </w:p>
        </w:tc>
      </w:tr>
      <w:tr>
        <w:tc>
          <w:tcPr>
            <w:tcW w:type="dxa" w:w="1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INI-2026-007</w:t>
            </w:r>
          </w:p>
        </w:tc>
        <w:tc>
          <w:tcPr>
            <w:tcW w:type="dxa" w:w="3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تأهيل 350 متدرب في مركز التدريب</w:t>
            </w:r>
          </w:p>
        </w:tc>
        <w:tc>
          <w:tcPr>
            <w:tcW w:type="dxa" w:w="1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STR-2026-004</w:t>
            </w:r>
          </w:p>
        </w:tc>
        <w:tc>
          <w:tcPr>
            <w:tcW w:type="dxa" w:w="22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CEO</w:t>
            </w:r>
          </w:p>
        </w:tc>
      </w:tr>
      <w:tr>
        <w:tc>
          <w:tcPr>
            <w:tcW w:type="dxa" w:w="1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INI-2026-017</w:t>
            </w:r>
          </w:p>
        </w:tc>
        <w:tc>
          <w:tcPr>
            <w:tcW w:type="dxa" w:w="3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تشغيل منظومة Rafid ERP وتكامل QMS</w:t>
            </w:r>
          </w:p>
        </w:tc>
        <w:tc>
          <w:tcPr>
            <w:tcW w:type="dxa" w:w="1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STR-2026-013</w:t>
            </w:r>
          </w:p>
        </w:tc>
        <w:tc>
          <w:tcPr>
            <w:tcW w:type="dxa" w:w="22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CEO</w:t>
            </w:r>
          </w:p>
        </w:tc>
      </w:tr>
      <w:tr>
        <w:tc>
          <w:tcPr>
            <w:tcW w:type="dxa" w:w="1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INI-2026-018</w:t>
            </w:r>
          </w:p>
        </w:tc>
        <w:tc>
          <w:tcPr>
            <w:tcW w:type="dxa" w:w="3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تدريب 30 موظف على 3 أدوات AI</w:t>
            </w:r>
          </w:p>
        </w:tc>
        <w:tc>
          <w:tcPr>
            <w:tcW w:type="dxa" w:w="1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STR-2026-013</w:t>
            </w:r>
          </w:p>
        </w:tc>
        <w:tc>
          <w:tcPr>
            <w:tcW w:type="dxa" w:w="22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CEO</w:t>
            </w:r>
          </w:p>
        </w:tc>
      </w:tr>
      <w:tr>
        <w:tc>
          <w:tcPr>
            <w:tcW w:type="dxa" w:w="1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INI-2026-023</w:t>
            </w:r>
          </w:p>
        </w:tc>
        <w:tc>
          <w:tcPr>
            <w:tcW w:type="dxa" w:w="3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تدقيق الشراكات الـ 18 القائمة</w:t>
            </w:r>
          </w:p>
        </w:tc>
        <w:tc>
          <w:tcPr>
            <w:tcW w:type="dxa" w:w="1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STR-2026-016</w:t>
            </w:r>
          </w:p>
        </w:tc>
        <w:tc>
          <w:tcPr>
            <w:tcW w:type="dxa" w:w="22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فاطمة عقيبي</w:t>
            </w:r>
          </w:p>
        </w:tc>
      </w:tr>
    </w:tbl>
    <w:p>
      <w:pPr>
        <w:pStyle w:val="Heading2"/>
        <w:bidi/>
        <w:spacing w:after="160" w:before="240"/>
        <w:jc w:val="right"/>
      </w:pPr>
      <w:r>
        <w:rPr>
          <w:rFonts w:ascii="Arial" w:cs="Arial" w:eastAsia="Arial" w:hAnsi="Arial"/>
          <w:b/>
          <w:bCs/>
          <w:color w:val="2E75B6"/>
          <w:sz w:val="28"/>
          <w:szCs w:val="28"/>
          <w:rtl/>
        </w:rPr>
        <w:t xml:space="preserve">6.2 المبادرات الجاهزة للانطلاق (15 مبادرة)</w:t>
      </w:r>
    </w:p>
    <w:p>
      <w:pPr>
        <w:bidi/>
        <w:spacing w:after="80" w:before="80"/>
        <w:jc w:val="right"/>
      </w:pPr>
      <w:r>
        <w:rPr>
          <w:rFonts w:ascii="Arial" w:cs="Arial" w:eastAsia="Arial" w:hAnsi="Arial"/>
          <w:sz w:val="22"/>
          <w:szCs w:val="22"/>
          <w:rtl/>
        </w:rPr>
        <w:t xml:space="preserve">15 مبادرة بحالة NOT_STARTED مُجهَّزة للانطلاق فور اعتماد الخطة، موزّعة على المحاور الأربعة وفق أولويات إدارية معتمدة.</w:t>
      </w:r>
    </w:p>
    <w:p>
      <w:pPr>
        <w:pStyle w:val="Heading2"/>
        <w:bidi/>
        <w:spacing w:after="160" w:before="240"/>
        <w:jc w:val="right"/>
      </w:pPr>
      <w:r>
        <w:rPr>
          <w:rFonts w:ascii="Arial" w:cs="Arial" w:eastAsia="Arial" w:hAnsi="Arial"/>
          <w:b/>
          <w:bCs/>
          <w:color w:val="2E75B6"/>
          <w:sz w:val="28"/>
          <w:szCs w:val="28"/>
          <w:rtl/>
        </w:rPr>
        <w:t xml:space="preserve">6.3 المبادرات المؤجَّلة أو المُحوَّلة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c>
          <w:tcPr>
            <w:tcW w:type="dxa" w:w="170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الكود</w:t>
            </w:r>
          </w:p>
        </w:tc>
        <w:tc>
          <w:tcPr>
            <w:tcW w:type="dxa" w:w="370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الإجراء</w:t>
            </w:r>
          </w:p>
        </w:tc>
        <w:tc>
          <w:tcPr>
            <w:tcW w:type="dxa" w:w="396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السبب</w:t>
            </w:r>
          </w:p>
        </w:tc>
      </w:tr>
      <w:tr>
        <w:tc>
          <w:tcPr>
            <w:tcW w:type="dxa" w:w="1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INI-2026-014</w:t>
            </w:r>
          </w:p>
        </w:tc>
        <w:tc>
          <w:tcPr>
            <w:tcW w:type="dxa" w:w="3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دمج مع OBJ-2026-020</w:t>
            </w:r>
          </w:p>
        </w:tc>
        <w:tc>
          <w:tcPr>
            <w:tcW w:type="dxa" w:w="39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تكرار صريح في KPI</w:t>
            </w:r>
          </w:p>
        </w:tc>
      </w:tr>
      <w:tr>
        <w:tc>
          <w:tcPr>
            <w:tcW w:type="dxa" w:w="1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INI-2026-024</w:t>
            </w:r>
          </w:p>
        </w:tc>
        <w:tc>
          <w:tcPr>
            <w:tcW w:type="dxa" w:w="3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دمج مع OBJ-2026-032</w:t>
            </w:r>
          </w:p>
        </w:tc>
        <w:tc>
          <w:tcPr>
            <w:tcW w:type="dxa" w:w="39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تكرار في عدد الشراكات</w:t>
            </w:r>
          </w:p>
        </w:tc>
      </w:tr>
      <w:tr>
        <w:tc>
          <w:tcPr>
            <w:tcW w:type="dxa" w:w="1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INI-2026-003</w:t>
            </w:r>
          </w:p>
        </w:tc>
        <w:tc>
          <w:tcPr>
            <w:tcW w:type="dxa" w:w="3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تأجيل لـ 2027</w:t>
            </w:r>
          </w:p>
        </w:tc>
        <w:tc>
          <w:tcPr>
            <w:tcW w:type="dxa" w:w="39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مشروط بفائض مالي فعلي</w:t>
            </w:r>
          </w:p>
        </w:tc>
      </w:tr>
      <w:tr>
        <w:tc>
          <w:tcPr>
            <w:tcW w:type="dxa" w:w="1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INI-2026-012</w:t>
            </w:r>
          </w:p>
        </w:tc>
        <w:tc>
          <w:tcPr>
            <w:tcW w:type="dxa" w:w="37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تحويل لدراسة جدوى Q3 2026</w:t>
            </w:r>
          </w:p>
        </w:tc>
        <w:tc>
          <w:tcPr>
            <w:tcW w:type="dxa" w:w="39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يحتاج تقييماً قبل تطوير تجاري</w:t>
            </w:r>
          </w:p>
        </w:tc>
      </w:tr>
    </w:tbl>
    <w:p>
      <w:r>
        <w:br w:type="page"/>
      </w:r>
    </w:p>
    <w:p>
      <w:pPr>
        <w:pStyle w:val="Heading1"/>
        <w:bidi/>
        <w:spacing w:after="240" w:before="360"/>
        <w:jc w:val="right"/>
      </w:pPr>
      <w:r>
        <w:rPr>
          <w:rFonts w:ascii="Arial" w:cs="Arial" w:eastAsia="Arial" w:hAnsi="Arial"/>
          <w:b/>
          <w:bCs/>
          <w:color w:val="1F4E79"/>
          <w:sz w:val="32"/>
          <w:szCs w:val="32"/>
          <w:rtl/>
        </w:rPr>
        <w:t xml:space="preserve">7. سجل المخاطر والقيود (شفافية كاملة)</w:t>
      </w:r>
    </w:p>
    <w:p>
      <w:pPr>
        <w:bidi/>
        <w:spacing w:after="80" w:before="80"/>
        <w:jc w:val="right"/>
      </w:pPr>
      <w:r>
        <w:rPr>
          <w:rFonts w:ascii="Arial" w:cs="Arial" w:eastAsia="Arial" w:hAnsi="Arial"/>
          <w:color w:val="595959"/>
          <w:sz w:val="22"/>
          <w:szCs w:val="22"/>
          <w:rtl/>
        </w:rPr>
        <w:t xml:space="preserve">المعلومات التالية تُقدَّم بشفافية تامة. عرضها صراحةً يبني المصداقية أمام المجلس ويسمح باتخاذ قرارات معتمدة على واقع لا على تجميل.</w:t>
      </w:r>
    </w:p>
    <w:p>
      <w:pPr>
        <w:pStyle w:val="Heading2"/>
        <w:bidi/>
        <w:spacing w:after="160" w:before="240"/>
        <w:jc w:val="right"/>
      </w:pPr>
      <w:r>
        <w:rPr>
          <w:rFonts w:ascii="Arial" w:cs="Arial" w:eastAsia="Arial" w:hAnsi="Arial"/>
          <w:b/>
          <w:bCs/>
          <w:color w:val="2E75B6"/>
          <w:sz w:val="28"/>
          <w:szCs w:val="28"/>
          <w:rtl/>
        </w:rPr>
        <w:t xml:space="preserve">7.1 المخاطر الاستراتيجية المُسجَّلة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1580"/>
        <w:gridCol w:w="1580"/>
      </w:tblGrid>
      <w:tr>
        <w:tc>
          <w:tcPr>
            <w:tcW w:type="dxa" w:w="420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المخاطرة</w:t>
            </w:r>
          </w:p>
        </w:tc>
        <w:tc>
          <w:tcPr>
            <w:tcW w:type="dxa" w:w="200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الفئة</w:t>
            </w:r>
          </w:p>
        </w:tc>
        <w:tc>
          <w:tcPr>
            <w:tcW w:type="dxa" w:w="158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الأثر</w:t>
            </w:r>
          </w:p>
        </w:tc>
        <w:tc>
          <w:tcPr>
            <w:tcW w:type="dxa" w:w="158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الاحتمال</w:t>
            </w:r>
          </w:p>
        </w:tc>
      </w:tr>
      <w:tr>
        <w:tc>
          <w:tcPr>
            <w:tcW w:type="dxa" w:w="42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تركّز التمويل في مصدرين/ثلاثة</w:t>
            </w:r>
          </w:p>
        </w:tc>
        <w:tc>
          <w:tcPr>
            <w:tcW w:type="dxa" w:w="2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مالية</w:t>
            </w:r>
          </w:p>
        </w:tc>
        <w:tc>
          <w:tcPr>
            <w:tcW w:type="dxa" w:w="15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color w:val="C00000"/>
                <w:sz w:val="20"/>
                <w:szCs w:val="20"/>
                <w:rtl/>
              </w:rPr>
              <w:t xml:space="preserve">مرتفع</w:t>
            </w:r>
          </w:p>
        </w:tc>
        <w:tc>
          <w:tcPr>
            <w:tcW w:type="dxa" w:w="15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متوسط</w:t>
            </w:r>
          </w:p>
        </w:tc>
      </w:tr>
      <w:tr>
        <w:tc>
          <w:tcPr>
            <w:tcW w:type="dxa" w:w="42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انخفاض التبرعات الموسمية (رمضان/الأضحى)</w:t>
            </w:r>
          </w:p>
        </w:tc>
        <w:tc>
          <w:tcPr>
            <w:tcW w:type="dxa" w:w="2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مالية</w:t>
            </w:r>
          </w:p>
        </w:tc>
        <w:tc>
          <w:tcPr>
            <w:tcW w:type="dxa" w:w="15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color w:val="C00000"/>
                <w:sz w:val="20"/>
                <w:szCs w:val="20"/>
                <w:rtl/>
              </w:rPr>
              <w:t xml:space="preserve">مرتفع</w:t>
            </w:r>
          </w:p>
        </w:tc>
        <w:tc>
          <w:tcPr>
            <w:tcW w:type="dxa" w:w="15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color w:val="C00000"/>
                <w:sz w:val="20"/>
                <w:szCs w:val="20"/>
                <w:rtl/>
              </w:rPr>
              <w:t xml:space="preserve">مرتفع</w:t>
            </w:r>
          </w:p>
        </w:tc>
      </w:tr>
      <w:tr>
        <w:tc>
          <w:tcPr>
            <w:tcW w:type="dxa" w:w="42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فجوة سيولة في Q3</w:t>
            </w:r>
          </w:p>
        </w:tc>
        <w:tc>
          <w:tcPr>
            <w:tcW w:type="dxa" w:w="2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مالية</w:t>
            </w:r>
          </w:p>
        </w:tc>
        <w:tc>
          <w:tcPr>
            <w:tcW w:type="dxa" w:w="15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متوسط</w:t>
            </w:r>
          </w:p>
        </w:tc>
        <w:tc>
          <w:tcPr>
            <w:tcW w:type="dxa" w:w="15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متوسط</w:t>
            </w:r>
          </w:p>
        </w:tc>
      </w:tr>
      <w:tr>
        <w:tc>
          <w:tcPr>
            <w:tcW w:type="dxa" w:w="42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تعطّل منظومة Rafid ERP</w:t>
            </w:r>
          </w:p>
        </w:tc>
        <w:tc>
          <w:tcPr>
            <w:tcW w:type="dxa" w:w="2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تشغيلية</w:t>
            </w:r>
          </w:p>
        </w:tc>
        <w:tc>
          <w:tcPr>
            <w:tcW w:type="dxa" w:w="15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color w:val="C00000"/>
                <w:sz w:val="20"/>
                <w:szCs w:val="20"/>
                <w:rtl/>
              </w:rPr>
              <w:t xml:space="preserve">مرتفع</w:t>
            </w:r>
          </w:p>
        </w:tc>
        <w:tc>
          <w:tcPr>
            <w:tcW w:type="dxa" w:w="15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منخفض</w:t>
            </w:r>
          </w:p>
        </w:tc>
      </w:tr>
      <w:tr>
        <w:tc>
          <w:tcPr>
            <w:tcW w:type="dxa" w:w="42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تسرّب موظفين رئيسيين</w:t>
            </w:r>
          </w:p>
        </w:tc>
        <w:tc>
          <w:tcPr>
            <w:tcW w:type="dxa" w:w="2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تشغيلية</w:t>
            </w:r>
          </w:p>
        </w:tc>
        <w:tc>
          <w:tcPr>
            <w:tcW w:type="dxa" w:w="15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متوسط</w:t>
            </w:r>
          </w:p>
        </w:tc>
        <w:tc>
          <w:tcPr>
            <w:tcW w:type="dxa" w:w="15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متوسط</w:t>
            </w:r>
          </w:p>
        </w:tc>
      </w:tr>
      <w:tr>
        <w:tc>
          <w:tcPr>
            <w:tcW w:type="dxa" w:w="42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تأخّر تقارير GASTAT أو منصة الجمعيات</w:t>
            </w:r>
          </w:p>
        </w:tc>
        <w:tc>
          <w:tcPr>
            <w:tcW w:type="dxa" w:w="2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امتثال</w:t>
            </w:r>
          </w:p>
        </w:tc>
        <w:tc>
          <w:tcPr>
            <w:tcW w:type="dxa" w:w="15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متوسط</w:t>
            </w:r>
          </w:p>
        </w:tc>
        <w:tc>
          <w:tcPr>
            <w:tcW w:type="dxa" w:w="15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منخفض</w:t>
            </w:r>
          </w:p>
        </w:tc>
      </w:tr>
      <w:tr>
        <w:tc>
          <w:tcPr>
            <w:tcW w:type="dxa" w:w="42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انتهاء شهادات (Z أو خصوصية البيانات)</w:t>
            </w:r>
          </w:p>
        </w:tc>
        <w:tc>
          <w:tcPr>
            <w:tcW w:type="dxa" w:w="2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امتثال</w:t>
            </w:r>
          </w:p>
        </w:tc>
        <w:tc>
          <w:tcPr>
            <w:tcW w:type="dxa" w:w="15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color w:val="C00000"/>
                <w:sz w:val="20"/>
                <w:szCs w:val="20"/>
                <w:rtl/>
              </w:rPr>
              <w:t xml:space="preserve">مرتفع</w:t>
            </w:r>
          </w:p>
        </w:tc>
        <w:tc>
          <w:tcPr>
            <w:tcW w:type="dxa" w:w="15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منخفض</w:t>
            </w:r>
          </w:p>
        </w:tc>
      </w:tr>
      <w:tr>
        <w:tc>
          <w:tcPr>
            <w:tcW w:type="dxa" w:w="42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تغيير تشريعي مفاجئ من وزارة الموارد البشرية</w:t>
            </w:r>
          </w:p>
        </w:tc>
        <w:tc>
          <w:tcPr>
            <w:tcW w:type="dxa" w:w="2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امتثال</w:t>
            </w:r>
          </w:p>
        </w:tc>
        <w:tc>
          <w:tcPr>
            <w:tcW w:type="dxa" w:w="15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color w:val="C00000"/>
                <w:sz w:val="20"/>
                <w:szCs w:val="20"/>
                <w:rtl/>
              </w:rPr>
              <w:t xml:space="preserve">مرتفع</w:t>
            </w:r>
          </w:p>
        </w:tc>
        <w:tc>
          <w:tcPr>
            <w:tcW w:type="dxa" w:w="15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منخفض</w:t>
            </w:r>
          </w:p>
        </w:tc>
      </w:tr>
      <w:tr>
        <w:tc>
          <w:tcPr>
            <w:tcW w:type="dxa" w:w="42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شكاوى مستفيدين متراكمة دون معالجة</w:t>
            </w:r>
          </w:p>
        </w:tc>
        <w:tc>
          <w:tcPr>
            <w:tcW w:type="dxa" w:w="2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سمعة</w:t>
            </w:r>
          </w:p>
        </w:tc>
        <w:tc>
          <w:tcPr>
            <w:tcW w:type="dxa" w:w="15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متوسط</w:t>
            </w:r>
          </w:p>
        </w:tc>
        <w:tc>
          <w:tcPr>
            <w:tcW w:type="dxa" w:w="15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منخفض</w:t>
            </w:r>
          </w:p>
        </w:tc>
      </w:tr>
      <w:tr>
        <w:tc>
          <w:tcPr>
            <w:tcW w:type="dxa" w:w="42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تغطية إعلامية سلبية أو تشكيك مجتمعي</w:t>
            </w:r>
          </w:p>
        </w:tc>
        <w:tc>
          <w:tcPr>
            <w:tcW w:type="dxa" w:w="2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سمعة</w:t>
            </w:r>
          </w:p>
        </w:tc>
        <w:tc>
          <w:tcPr>
            <w:tcW w:type="dxa" w:w="15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color w:val="C00000"/>
                <w:sz w:val="20"/>
                <w:szCs w:val="20"/>
                <w:rtl/>
              </w:rPr>
              <w:t xml:space="preserve">مرتفع</w:t>
            </w:r>
          </w:p>
        </w:tc>
        <w:tc>
          <w:tcPr>
            <w:tcW w:type="dxa" w:w="15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منخفض</w:t>
            </w:r>
          </w:p>
        </w:tc>
      </w:tr>
      <w:tr>
        <w:tc>
          <w:tcPr>
            <w:tcW w:type="dxa" w:w="42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حادث تسريب بيانات مستفيدين</w:t>
            </w:r>
          </w:p>
        </w:tc>
        <w:tc>
          <w:tcPr>
            <w:tcW w:type="dxa" w:w="2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سمعة + امتثال</w:t>
            </w:r>
          </w:p>
        </w:tc>
        <w:tc>
          <w:tcPr>
            <w:tcW w:type="dxa" w:w="15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color w:val="C00000"/>
                <w:sz w:val="20"/>
                <w:szCs w:val="20"/>
                <w:rtl/>
              </w:rPr>
              <w:t xml:space="preserve">مرتفع</w:t>
            </w:r>
          </w:p>
        </w:tc>
        <w:tc>
          <w:tcPr>
            <w:tcW w:type="dxa" w:w="15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منخفض</w:t>
            </w:r>
          </w:p>
        </w:tc>
      </w:tr>
      <w:tr>
        <w:tc>
          <w:tcPr>
            <w:tcW w:type="dxa" w:w="42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عدم قدرة الفريق على تحمّل عبء الخطة الإضافي</w:t>
            </w:r>
          </w:p>
        </w:tc>
        <w:tc>
          <w:tcPr>
            <w:tcW w:type="dxa" w:w="2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تشغيلية</w:t>
            </w:r>
          </w:p>
        </w:tc>
        <w:tc>
          <w:tcPr>
            <w:tcW w:type="dxa" w:w="15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متوسط</w:t>
            </w:r>
          </w:p>
        </w:tc>
        <w:tc>
          <w:tcPr>
            <w:tcW w:type="dxa" w:w="158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color w:val="C00000"/>
                <w:sz w:val="20"/>
                <w:szCs w:val="20"/>
                <w:rtl/>
              </w:rPr>
              <w:t xml:space="preserve">مرتفع</w:t>
            </w:r>
          </w:p>
        </w:tc>
      </w:tr>
    </w:tbl>
    <w:p>
      <w:pPr>
        <w:pStyle w:val="Heading2"/>
        <w:bidi/>
        <w:spacing w:after="160" w:before="240"/>
        <w:jc w:val="right"/>
      </w:pPr>
      <w:r>
        <w:rPr>
          <w:rFonts w:ascii="Arial" w:cs="Arial" w:eastAsia="Arial" w:hAnsi="Arial"/>
          <w:b/>
          <w:bCs/>
          <w:color w:val="2E75B6"/>
          <w:sz w:val="28"/>
          <w:szCs w:val="28"/>
          <w:rtl/>
        </w:rPr>
        <w:t xml:space="preserve">7.2 القيود المعروفة في تنفيذ الخطة الحالية</w:t>
      </w:r>
    </w:p>
    <w:p>
      <w:pPr>
        <w:pStyle w:val="Heading3"/>
        <w:bidi/>
        <w:spacing w:after="100" w:before="160"/>
        <w:jc w:val="right"/>
      </w:pPr>
      <w:r>
        <w:rPr>
          <w:rFonts w:ascii="Arial" w:cs="Arial" w:eastAsia="Arial" w:hAnsi="Arial"/>
          <w:b/>
          <w:bCs/>
          <w:color w:val="2E75B6"/>
          <w:sz w:val="24"/>
          <w:szCs w:val="24"/>
          <w:rtl/>
        </w:rPr>
        <w:t xml:space="preserve">قيود بيانات</w:t>
      </w:r>
    </w:p>
    <w:p>
      <w:pPr>
        <w:pStyle w:val="ListParagraph"/>
        <w:numPr>
          <w:ilvl w:val="0"/>
          <w:numId w:val="2"/>
        </w:numPr>
        <w:bidi/>
        <w:spacing w:after="60" w:before="60"/>
        <w:jc w:val="right"/>
      </w:pPr>
      <w:r>
        <w:rPr>
          <w:rFonts w:ascii="Arial" w:cs="Arial" w:eastAsia="Arial" w:hAnsi="Arial"/>
          <w:sz w:val="22"/>
          <w:szCs w:val="22"/>
          <w:rtl/>
        </w:rPr>
        <w:t xml:space="preserve">غياب AnnualTargets رسمية لكل مؤشر للسنوات 2027-2030 (تُستكمل خلال 30 يوماً)</w:t>
      </w:r>
    </w:p>
    <w:p>
      <w:pPr>
        <w:pStyle w:val="ListParagraph"/>
        <w:numPr>
          <w:ilvl w:val="0"/>
          <w:numId w:val="2"/>
        </w:numPr>
        <w:bidi/>
        <w:spacing w:after="60" w:before="60"/>
        <w:jc w:val="right"/>
      </w:pPr>
      <w:r>
        <w:rPr>
          <w:rFonts w:ascii="Arial" w:cs="Arial" w:eastAsia="Arial" w:hAnsi="Arial"/>
          <w:sz w:val="22"/>
          <w:szCs w:val="22"/>
          <w:rtl/>
        </w:rPr>
        <w:t xml:space="preserve">غياب KpiEntries فعلية لـ Q1 2026 — سيُدخَل خلال 30 يوماً</w:t>
      </w:r>
    </w:p>
    <w:p>
      <w:pPr>
        <w:pStyle w:val="ListParagraph"/>
        <w:numPr>
          <w:ilvl w:val="0"/>
          <w:numId w:val="2"/>
        </w:numPr>
        <w:bidi/>
        <w:spacing w:after="60" w:before="60"/>
        <w:jc w:val="right"/>
      </w:pPr>
      <w:r>
        <w:rPr>
          <w:rFonts w:ascii="Arial" w:cs="Arial" w:eastAsia="Arial" w:hAnsi="Arial"/>
          <w:sz w:val="22"/>
          <w:szCs w:val="22"/>
          <w:rtl/>
        </w:rPr>
        <w:t xml:space="preserve">غياب التعريف الإجرائي الرسمي لمصطلحات جوهرية (أسرة مستفيدة، شراكة فعّالة، موظف مدرّب، متطوع نشط)</w:t>
      </w:r>
    </w:p>
    <w:p>
      <w:pPr>
        <w:pStyle w:val="ListParagraph"/>
        <w:numPr>
          <w:ilvl w:val="0"/>
          <w:numId w:val="2"/>
        </w:numPr>
        <w:bidi/>
        <w:spacing w:after="60" w:before="60"/>
        <w:jc w:val="right"/>
      </w:pPr>
      <w:r>
        <w:rPr>
          <w:rFonts w:ascii="Arial" w:cs="Arial" w:eastAsia="Arial" w:hAnsi="Arial"/>
          <w:sz w:val="22"/>
          <w:szCs w:val="22"/>
          <w:rtl/>
        </w:rPr>
        <w:t xml:space="preserve">غياب بيانات تاريخية للمقارنة قبل بناء النظام (Q1-Q4 2025 جزئية)</w:t>
      </w:r>
    </w:p>
    <w:p>
      <w:pPr>
        <w:pStyle w:val="Heading3"/>
        <w:bidi/>
        <w:spacing w:after="100" w:before="160"/>
        <w:jc w:val="right"/>
      </w:pPr>
      <w:r>
        <w:rPr>
          <w:rFonts w:ascii="Arial" w:cs="Arial" w:eastAsia="Arial" w:hAnsi="Arial"/>
          <w:b/>
          <w:bCs/>
          <w:color w:val="2E75B6"/>
          <w:sz w:val="24"/>
          <w:szCs w:val="24"/>
          <w:rtl/>
        </w:rPr>
        <w:t xml:space="preserve">قيود تنظيمية</w:t>
      </w:r>
    </w:p>
    <w:p>
      <w:pPr>
        <w:pStyle w:val="ListParagraph"/>
        <w:numPr>
          <w:ilvl w:val="0"/>
          <w:numId w:val="2"/>
        </w:numPr>
        <w:bidi/>
        <w:spacing w:after="60" w:before="60"/>
        <w:jc w:val="right"/>
      </w:pPr>
      <w:r>
        <w:rPr>
          <w:rFonts w:ascii="Arial" w:cs="Arial" w:eastAsia="Arial" w:hAnsi="Arial"/>
          <w:sz w:val="22"/>
          <w:szCs w:val="22"/>
          <w:rtl/>
        </w:rPr>
        <w:t xml:space="preserve">تحميل المدير التنفيذي هدفين استراتيجيين بشكل مؤقت (STR-004 + STR-013)</w:t>
      </w:r>
    </w:p>
    <w:p>
      <w:pPr>
        <w:pStyle w:val="ListParagraph"/>
        <w:numPr>
          <w:ilvl w:val="0"/>
          <w:numId w:val="2"/>
        </w:numPr>
        <w:bidi/>
        <w:spacing w:after="60" w:before="60"/>
        <w:jc w:val="right"/>
      </w:pPr>
      <w:r>
        <w:rPr>
          <w:rFonts w:ascii="Arial" w:cs="Arial" w:eastAsia="Arial" w:hAnsi="Arial"/>
          <w:sz w:val="22"/>
          <w:szCs w:val="22"/>
          <w:rtl/>
        </w:rPr>
        <w:t xml:space="preserve">تحميل مدير قسم الرعاية هدفين (STR-003 + STR-006) — يحتاج مراجعة في Q3</w:t>
      </w:r>
    </w:p>
    <w:p>
      <w:pPr>
        <w:pStyle w:val="ListParagraph"/>
        <w:numPr>
          <w:ilvl w:val="0"/>
          <w:numId w:val="2"/>
        </w:numPr>
        <w:bidi/>
        <w:spacing w:after="60" w:before="60"/>
        <w:jc w:val="right"/>
      </w:pPr>
      <w:r>
        <w:rPr>
          <w:rFonts w:ascii="Arial" w:cs="Arial" w:eastAsia="Arial" w:hAnsi="Arial"/>
          <w:sz w:val="22"/>
          <w:szCs w:val="22"/>
          <w:rtl/>
        </w:rPr>
        <w:t xml:space="preserve">عدم اعتماد قبول رسمي موقّع من جميع مالكي الأهداف</w:t>
      </w:r>
    </w:p>
    <w:p>
      <w:pPr>
        <w:pStyle w:val="Heading3"/>
        <w:bidi/>
        <w:spacing w:after="100" w:before="160"/>
        <w:jc w:val="right"/>
      </w:pPr>
      <w:r>
        <w:rPr>
          <w:rFonts w:ascii="Arial" w:cs="Arial" w:eastAsia="Arial" w:hAnsi="Arial"/>
          <w:b/>
          <w:bCs/>
          <w:color w:val="2E75B6"/>
          <w:sz w:val="24"/>
          <w:szCs w:val="24"/>
          <w:rtl/>
        </w:rPr>
        <w:t xml:space="preserve">قيود تنفيذ</w:t>
      </w:r>
    </w:p>
    <w:p>
      <w:pPr>
        <w:pStyle w:val="ListParagraph"/>
        <w:numPr>
          <w:ilvl w:val="0"/>
          <w:numId w:val="2"/>
        </w:numPr>
        <w:bidi/>
        <w:spacing w:after="60" w:before="60"/>
        <w:jc w:val="right"/>
      </w:pPr>
      <w:r>
        <w:rPr>
          <w:rFonts w:ascii="Arial" w:cs="Arial" w:eastAsia="Arial" w:hAnsi="Arial"/>
          <w:sz w:val="22"/>
          <w:szCs w:val="22"/>
          <w:rtl/>
        </w:rPr>
        <w:t xml:space="preserve">21 مبادرة على فريق يدير عمليات يومية مكثّفة — توقُّع ضغط على الوقت</w:t>
      </w:r>
    </w:p>
    <w:p>
      <w:pPr>
        <w:pStyle w:val="ListParagraph"/>
        <w:numPr>
          <w:ilvl w:val="0"/>
          <w:numId w:val="2"/>
        </w:numPr>
        <w:bidi/>
        <w:spacing w:after="60" w:before="60"/>
        <w:jc w:val="right"/>
      </w:pPr>
      <w:r>
        <w:rPr>
          <w:rFonts w:ascii="Arial" w:cs="Arial" w:eastAsia="Arial" w:hAnsi="Arial"/>
          <w:sz w:val="22"/>
          <w:szCs w:val="22"/>
          <w:rtl/>
        </w:rPr>
        <w:t xml:space="preserve">5 مبادرات IN_PROGRESS تستند إلى ادّعاء بدء، ولا توجد KpiEntries فعلية تثبت التقدم</w:t>
      </w:r>
    </w:p>
    <w:p>
      <w:pPr>
        <w:pStyle w:val="ListParagraph"/>
        <w:numPr>
          <w:ilvl w:val="0"/>
          <w:numId w:val="2"/>
        </w:numPr>
        <w:bidi/>
        <w:spacing w:after="60" w:before="60"/>
        <w:jc w:val="right"/>
      </w:pPr>
      <w:r>
        <w:rPr>
          <w:rFonts w:ascii="Arial" w:cs="Arial" w:eastAsia="Arial" w:hAnsi="Arial"/>
          <w:sz w:val="22"/>
          <w:szCs w:val="22"/>
          <w:rtl/>
        </w:rPr>
        <w:t xml:space="preserve">غياب لوحة متابعة فردية للموظف تعرض مؤشراته</w:t>
      </w:r>
    </w:p>
    <w:p>
      <w:r>
        <w:br w:type="page"/>
      </w:r>
    </w:p>
    <w:p>
      <w:pPr>
        <w:pStyle w:val="Heading1"/>
        <w:bidi/>
        <w:spacing w:after="240" w:before="360"/>
        <w:jc w:val="right"/>
      </w:pPr>
      <w:r>
        <w:rPr>
          <w:rFonts w:ascii="Arial" w:cs="Arial" w:eastAsia="Arial" w:hAnsi="Arial"/>
          <w:b/>
          <w:bCs/>
          <w:color w:val="1F4E79"/>
          <w:sz w:val="32"/>
          <w:szCs w:val="32"/>
          <w:rtl/>
        </w:rPr>
        <w:t xml:space="preserve">8. خطة الـ 30 يوماً قبل الإطلاق الرسمي</w:t>
      </w:r>
    </w:p>
    <w:p>
      <w:pPr>
        <w:bidi/>
        <w:spacing w:after="80" w:before="80"/>
        <w:jc w:val="right"/>
      </w:pPr>
      <w:r>
        <w:rPr>
          <w:rFonts w:ascii="Arial" w:cs="Arial" w:eastAsia="Arial" w:hAnsi="Arial"/>
          <w:sz w:val="22"/>
          <w:szCs w:val="22"/>
          <w:rtl/>
        </w:rPr>
        <w:t xml:space="preserve">لإكمال جاهزية الخطة قبل البدء التشغيلي الكامل، اعتُمدت خطة 4 أسابيع تركّز على البيانات والصدق الرقمي.</w:t>
      </w:r>
    </w:p>
    <w:p>
      <w:pPr>
        <w:pStyle w:val="Heading2"/>
        <w:bidi/>
        <w:spacing w:after="160" w:before="240"/>
        <w:jc w:val="right"/>
      </w:pPr>
      <w:r>
        <w:rPr>
          <w:rFonts w:ascii="Arial" w:cs="Arial" w:eastAsia="Arial" w:hAnsi="Arial"/>
          <w:b/>
          <w:bCs/>
          <w:color w:val="2E75B6"/>
          <w:sz w:val="28"/>
          <w:szCs w:val="28"/>
          <w:rtl/>
        </w:rPr>
        <w:t xml:space="preserve">8.1 الجدول الأسبوعي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الأسبوع</w:t>
            </w:r>
          </w:p>
        </w:tc>
        <w:tc>
          <w:tcPr>
            <w:tcW w:type="dxa" w:w="180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التواريخ</w:t>
            </w:r>
          </w:p>
        </w:tc>
        <w:tc>
          <w:tcPr>
            <w:tcW w:type="dxa" w:w="636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المُسلَّم</w:t>
            </w:r>
          </w:p>
        </w:tc>
      </w:tr>
      <w:tr>
        <w:tc>
          <w:tcPr>
            <w:tcW w:type="dxa" w:w="12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b/>
                <w:bCs/>
                <w:sz w:val="20"/>
                <w:szCs w:val="20"/>
                <w:rtl/>
              </w:rPr>
              <w:t xml:space="preserve">1</w:t>
            </w:r>
          </w:p>
        </w:tc>
        <w:tc>
          <w:tcPr>
            <w:tcW w:type="dxa" w:w="18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1-7 مايو</w:t>
            </w:r>
          </w:p>
        </w:tc>
        <w:tc>
          <w:tcPr>
            <w:tcW w:type="dxa" w:w="63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تقرير مالي 2025 + خط أساس بشري + قائمة 18 شراكة</w:t>
            </w:r>
          </w:p>
        </w:tc>
      </w:tr>
      <w:tr>
        <w:tc>
          <w:tcPr>
            <w:tcW w:type="dxa" w:w="12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b/>
                <w:bCs/>
                <w:sz w:val="20"/>
                <w:szCs w:val="20"/>
                <w:rtl/>
              </w:rPr>
              <w:t xml:space="preserve">2</w:t>
            </w:r>
          </w:p>
        </w:tc>
        <w:tc>
          <w:tcPr>
            <w:tcW w:type="dxa" w:w="18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8-14 مايو</w:t>
            </w:r>
          </w:p>
        </w:tc>
        <w:tc>
          <w:tcPr>
            <w:tcW w:type="dxa" w:w="63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AnnualTargets للسنوات الخمس + 4 تعاريف إجرائية</w:t>
            </w:r>
          </w:p>
        </w:tc>
      </w:tr>
      <w:tr>
        <w:tc>
          <w:tcPr>
            <w:tcW w:type="dxa" w:w="12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b/>
                <w:bCs/>
                <w:sz w:val="20"/>
                <w:szCs w:val="20"/>
                <w:rtl/>
              </w:rPr>
              <w:t xml:space="preserve">3</w:t>
            </w:r>
          </w:p>
        </w:tc>
        <w:tc>
          <w:tcPr>
            <w:tcW w:type="dxa" w:w="18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15-21 مايو</w:t>
            </w:r>
          </w:p>
        </w:tc>
        <w:tc>
          <w:tcPr>
            <w:tcW w:type="dxa" w:w="63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KpiEntries Q1 2026 + سجل المخاطر + تنقية الادّعاءات</w:t>
            </w:r>
          </w:p>
        </w:tc>
      </w:tr>
      <w:tr>
        <w:tc>
          <w:tcPr>
            <w:tcW w:type="dxa" w:w="12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b/>
                <w:bCs/>
                <w:sz w:val="20"/>
                <w:szCs w:val="20"/>
                <w:rtl/>
              </w:rPr>
              <w:t xml:space="preserve">4</w:t>
            </w:r>
          </w:p>
        </w:tc>
        <w:tc>
          <w:tcPr>
            <w:tcW w:type="dxa" w:w="18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22-30 مايو</w:t>
            </w:r>
          </w:p>
        </w:tc>
        <w:tc>
          <w:tcPr>
            <w:tcW w:type="dxa" w:w="63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وثيقة العرض النهائية + جلسة بروفة + إقرار CEO</w:t>
            </w:r>
          </w:p>
        </w:tc>
      </w:tr>
    </w:tbl>
    <w:p>
      <w:pPr>
        <w:pStyle w:val="Heading2"/>
        <w:bidi/>
        <w:spacing w:after="160" w:before="240"/>
        <w:jc w:val="right"/>
      </w:pPr>
      <w:r>
        <w:rPr>
          <w:rFonts w:ascii="Arial" w:cs="Arial" w:eastAsia="Arial" w:hAnsi="Arial"/>
          <w:b/>
          <w:bCs/>
          <w:color w:val="2E75B6"/>
          <w:sz w:val="28"/>
          <w:szCs w:val="28"/>
          <w:rtl/>
        </w:rPr>
        <w:t xml:space="preserve">8.2 الجهد المطلوب</w:t>
      </w:r>
    </w:p>
    <w:p>
      <w:pPr>
        <w:pStyle w:val="ListParagraph"/>
        <w:numPr>
          <w:ilvl w:val="0"/>
          <w:numId w:val="2"/>
        </w:numPr>
        <w:bidi/>
        <w:spacing w:after="60" w:before="60"/>
        <w:jc w:val="right"/>
      </w:pPr>
      <w:r>
        <w:rPr>
          <w:rFonts w:ascii="Arial" w:cs="Arial" w:eastAsia="Arial" w:hAnsi="Arial"/>
          <w:sz w:val="22"/>
          <w:szCs w:val="22"/>
          <w:rtl/>
        </w:rPr>
        <w:t xml:space="preserve">CEO: ~15 ساعة</w:t>
      </w:r>
    </w:p>
    <w:p>
      <w:pPr>
        <w:pStyle w:val="ListParagraph"/>
        <w:numPr>
          <w:ilvl w:val="0"/>
          <w:numId w:val="2"/>
        </w:numPr>
        <w:bidi/>
        <w:spacing w:after="60" w:before="60"/>
        <w:jc w:val="right"/>
      </w:pPr>
      <w:r>
        <w:rPr>
          <w:rFonts w:ascii="Arial" w:cs="Arial" w:eastAsia="Arial" w:hAnsi="Arial"/>
          <w:sz w:val="22"/>
          <w:szCs w:val="22"/>
          <w:rtl/>
        </w:rPr>
        <w:t xml:space="preserve">مدير الجودة: ~35 ساعة (التنسيق المركزي)</w:t>
      </w:r>
    </w:p>
    <w:p>
      <w:pPr>
        <w:pStyle w:val="ListParagraph"/>
        <w:numPr>
          <w:ilvl w:val="0"/>
          <w:numId w:val="2"/>
        </w:numPr>
        <w:bidi/>
        <w:spacing w:after="60" w:before="60"/>
        <w:jc w:val="right"/>
      </w:pPr>
      <w:r>
        <w:rPr>
          <w:rFonts w:ascii="Arial" w:cs="Arial" w:eastAsia="Arial" w:hAnsi="Arial"/>
          <w:sz w:val="22"/>
          <w:szCs w:val="22"/>
          <w:rtl/>
        </w:rPr>
        <w:t xml:space="preserve">المالية: ~15 ساعة (التقرير المالي)</w:t>
      </w:r>
    </w:p>
    <w:p>
      <w:pPr>
        <w:pStyle w:val="ListParagraph"/>
        <w:numPr>
          <w:ilvl w:val="0"/>
          <w:numId w:val="2"/>
        </w:numPr>
        <w:bidi/>
        <w:spacing w:after="60" w:before="60"/>
        <w:jc w:val="right"/>
      </w:pPr>
      <w:r>
        <w:rPr>
          <w:rFonts w:ascii="Arial" w:cs="Arial" w:eastAsia="Arial" w:hAnsi="Arial"/>
          <w:sz w:val="22"/>
          <w:szCs w:val="22"/>
          <w:rtl/>
        </w:rPr>
        <w:t xml:space="preserve">كل مالك هدف: ~7 ساعات (تعاريف + AnnualTargets + KpiEntries)</w:t>
      </w:r>
    </w:p>
    <w:p>
      <w:pPr>
        <w:pStyle w:val="ListParagraph"/>
        <w:numPr>
          <w:ilvl w:val="0"/>
          <w:numId w:val="2"/>
        </w:numPr>
        <w:bidi/>
        <w:spacing w:after="60" w:before="60"/>
        <w:jc w:val="right"/>
      </w:pPr>
      <w:r>
        <w:rPr>
          <w:rFonts w:ascii="Arial" w:cs="Arial" w:eastAsia="Arial" w:hAnsi="Arial"/>
          <w:sz w:val="22"/>
          <w:szCs w:val="22"/>
          <w:rtl/>
        </w:rPr>
        <w:t xml:space="preserve">الإجمالي: ~115 ساعة موزّعة على فريق كامل خلال 30 يوماً</w:t>
      </w:r>
    </w:p>
    <w:p>
      <w:pPr>
        <w:pStyle w:val="ListParagraph"/>
        <w:numPr>
          <w:ilvl w:val="0"/>
          <w:numId w:val="2"/>
        </w:numPr>
        <w:bidi/>
        <w:spacing w:after="60" w:before="60"/>
        <w:jc w:val="right"/>
      </w:pPr>
      <w:r>
        <w:rPr>
          <w:rFonts w:ascii="Arial" w:cs="Arial" w:eastAsia="Arial" w:hAnsi="Arial"/>
          <w:sz w:val="22"/>
          <w:szCs w:val="22"/>
          <w:rtl/>
        </w:rPr>
        <w:t xml:space="preserve">المعنى: 4 ساعات يومياً موزّعة — لا توقّف للعمل التشغيلي</w:t>
      </w:r>
    </w:p>
    <w:p>
      <w:pPr>
        <w:pStyle w:val="Heading2"/>
        <w:bidi/>
        <w:spacing w:after="160" w:before="240"/>
        <w:jc w:val="right"/>
      </w:pPr>
      <w:r>
        <w:rPr>
          <w:rFonts w:ascii="Arial" w:cs="Arial" w:eastAsia="Arial" w:hAnsi="Arial"/>
          <w:b/>
          <w:bCs/>
          <w:color w:val="2E75B6"/>
          <w:sz w:val="28"/>
          <w:szCs w:val="28"/>
          <w:rtl/>
        </w:rPr>
        <w:t xml:space="preserve">8.3 نقاط القرار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التاريخ</w:t>
            </w:r>
          </w:p>
        </w:tc>
        <w:tc>
          <w:tcPr>
            <w:tcW w:type="dxa" w:w="7360"/>
            <w:tcBorders>
              <w:top w:val="single" w:color="D0D0D0" w:sz="4"/>
              <w:left w:val="single" w:color="D0D0D0" w:sz="4"/>
              <w:bottom w:val="single" w:color="D0D0D0" w:sz="4"/>
              <w:right w:val="single" w:color="D0D0D0" w:sz="4"/>
            </w:tcBorders>
            <w:shd w:fill="D5E8F0" w:val="clear"/>
            <w:tcMar>
              <w:top w:type="dxa" w:w="100"/>
              <w:left w:type="dxa" w:w="140"/>
              <w:bottom w:type="dxa" w:w="100"/>
              <w:right w:type="dxa" w:w="140"/>
            </w:tcMar>
          </w:tcPr>
          <w:p>
            <w:pPr>
              <w:bidi/>
              <w:jc w:val="center"/>
            </w:pPr>
            <w:r>
              <w:rPr>
                <w:rFonts w:ascii="Arial" w:cs="Arial" w:eastAsia="Arial" w:hAnsi="Arial"/>
                <w:b/>
                <w:bCs/>
                <w:sz w:val="20"/>
                <w:szCs w:val="20"/>
                <w:rtl/>
              </w:rPr>
              <w:t xml:space="preserve">القرار</w:t>
            </w:r>
          </w:p>
        </w:tc>
      </w:tr>
      <w:tr>
        <w:tc>
          <w:tcPr>
            <w:tcW w:type="dxa" w:w="2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7 مايو</w:t>
            </w:r>
          </w:p>
        </w:tc>
        <w:tc>
          <w:tcPr>
            <w:tcW w:type="dxa" w:w="73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الاستمرار أو التأجيل (إن لم يثبت خط الأساس المالي)</w:t>
            </w:r>
          </w:p>
        </w:tc>
      </w:tr>
      <w:tr>
        <w:tc>
          <w:tcPr>
            <w:tcW w:type="dxa" w:w="2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14 مايو</w:t>
            </w:r>
          </w:p>
        </w:tc>
        <w:tc>
          <w:tcPr>
            <w:tcW w:type="dxa" w:w="73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جودة البيانات كافية أم نحتاج تأخيراً</w:t>
            </w:r>
          </w:p>
        </w:tc>
      </w:tr>
      <w:tr>
        <w:tc>
          <w:tcPr>
            <w:tcW w:type="dxa" w:w="2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21 مايو</w:t>
            </w:r>
          </w:p>
        </w:tc>
        <w:tc>
          <w:tcPr>
            <w:tcW w:type="dxa" w:w="73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إن سُحب &gt;30% من الادّعاءات → مراجعة منهج العرض</w:t>
            </w:r>
          </w:p>
        </w:tc>
      </w:tr>
      <w:tr>
        <w:tc>
          <w:tcPr>
            <w:tcW w:type="dxa" w:w="200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center"/>
            </w:pPr>
            <w:r>
              <w:rPr>
                <w:rFonts w:ascii="Arial" w:cs="Arial" w:eastAsia="Arial" w:hAnsi="Arial"/>
                <w:sz w:val="20"/>
                <w:szCs w:val="20"/>
                <w:rtl/>
              </w:rPr>
              <w:t xml:space="preserve">27 مايو</w:t>
            </w:r>
          </w:p>
        </w:tc>
        <w:tc>
          <w:tcPr>
            <w:tcW w:type="dxa" w:w="7360"/>
            <w:tcBorders>
              <w:top w:val="single" w:color="D0D0D0" w:sz="4"/>
              <w:left w:val="single" w:color="D0D0D0" w:sz="4"/>
              <w:bottom w:val="single" w:color="D0D0D0" w:sz="4"/>
              <w:right w:val="single" w:color="D0D0D0" w:sz="4"/>
            </w:tcBorders>
            <w:tcMar>
              <w:top w:type="dxa" w:w="100"/>
              <w:left w:type="dxa" w:w="140"/>
              <w:bottom w:type="dxa" w:w="100"/>
              <w:right w:type="dxa" w:w="140"/>
            </w:tcMar>
          </w:tcPr>
          <w:p>
            <w:pPr>
              <w:bidi/>
              <w:jc w:val="right"/>
            </w:pPr>
            <w:r>
              <w:rPr>
                <w:rFonts w:ascii="Arial" w:cs="Arial" w:eastAsia="Arial" w:hAnsi="Arial"/>
                <w:sz w:val="20"/>
                <w:szCs w:val="20"/>
                <w:rtl/>
              </w:rPr>
              <w:t xml:space="preserve">البروفة → الجاهزية أم تأخير أسبوع</w:t>
            </w:r>
          </w:p>
        </w:tc>
      </w:tr>
    </w:tbl>
    <w:p>
      <w:r>
        <w:br w:type="page"/>
      </w:r>
    </w:p>
    <w:p>
      <w:pPr>
        <w:pStyle w:val="Heading1"/>
        <w:bidi/>
        <w:spacing w:after="240" w:before="360"/>
        <w:jc w:val="right"/>
      </w:pPr>
      <w:r>
        <w:rPr>
          <w:rFonts w:ascii="Arial" w:cs="Arial" w:eastAsia="Arial" w:hAnsi="Arial"/>
          <w:b/>
          <w:bCs/>
          <w:color w:val="1F4E79"/>
          <w:sz w:val="32"/>
          <w:szCs w:val="32"/>
          <w:rtl/>
        </w:rPr>
        <w:t xml:space="preserve">9. منظومة الحوكمة والمتابعة</w:t>
      </w:r>
    </w:p>
    <w:p>
      <w:pPr>
        <w:pStyle w:val="Heading2"/>
        <w:bidi/>
        <w:spacing w:after="160" w:before="240"/>
        <w:jc w:val="right"/>
      </w:pPr>
      <w:r>
        <w:rPr>
          <w:rFonts w:ascii="Arial" w:cs="Arial" w:eastAsia="Arial" w:hAnsi="Arial"/>
          <w:b/>
          <w:bCs/>
          <w:color w:val="2E75B6"/>
          <w:sz w:val="28"/>
          <w:szCs w:val="28"/>
          <w:rtl/>
        </w:rPr>
        <w:t xml:space="preserve">9.1 المراجعة الربعية المُلزمة</w:t>
      </w:r>
    </w:p>
    <w:p>
      <w:pPr>
        <w:bidi/>
        <w:spacing w:after="80" w:before="80"/>
        <w:jc w:val="right"/>
      </w:pPr>
      <w:r>
        <w:rPr>
          <w:rFonts w:ascii="Arial" w:cs="Arial" w:eastAsia="Arial" w:hAnsi="Arial"/>
          <w:sz w:val="22"/>
          <w:szCs w:val="22"/>
          <w:rtl/>
        </w:rPr>
        <w:t xml:space="preserve">60 دقيقة × 4 مرات سنوياً، يحضرها المدير التنفيذي + مالكو الأهداف الثمانية + مدير الجودة. المحضر يُرفع في النظام كوثيقة رسمية.</w:t>
      </w:r>
    </w:p>
    <w:p>
      <w:pPr>
        <w:pStyle w:val="Heading2"/>
        <w:bidi/>
        <w:spacing w:after="160" w:before="240"/>
        <w:jc w:val="right"/>
      </w:pPr>
      <w:r>
        <w:rPr>
          <w:rFonts w:ascii="Arial" w:cs="Arial" w:eastAsia="Arial" w:hAnsi="Arial"/>
          <w:b/>
          <w:bCs/>
          <w:color w:val="2E75B6"/>
          <w:sz w:val="28"/>
          <w:szCs w:val="28"/>
          <w:rtl/>
        </w:rPr>
        <w:t xml:space="preserve">9.2 لوحة المتابعة المؤسسية</w:t>
      </w:r>
    </w:p>
    <w:p>
      <w:pPr>
        <w:bidi/>
        <w:spacing w:after="80" w:before="80"/>
        <w:jc w:val="right"/>
      </w:pPr>
      <w:r>
        <w:rPr>
          <w:rFonts w:ascii="Arial" w:cs="Arial" w:eastAsia="Arial" w:hAnsi="Arial"/>
          <w:sz w:val="22"/>
          <w:szCs w:val="22"/>
          <w:rtl/>
        </w:rPr>
        <w:t xml:space="preserve">يُستثمَر النظام القائم (QMS) في توفير لوحة موحَّدة تعرض:</w:t>
      </w:r>
    </w:p>
    <w:p>
      <w:pPr>
        <w:pStyle w:val="ListParagraph"/>
        <w:numPr>
          <w:ilvl w:val="0"/>
          <w:numId w:val="2"/>
        </w:numPr>
        <w:bidi/>
        <w:spacing w:after="60" w:before="60"/>
        <w:jc w:val="right"/>
      </w:pPr>
      <w:r>
        <w:rPr>
          <w:rFonts w:ascii="Arial" w:cs="Arial" w:eastAsia="Arial" w:hAnsi="Arial"/>
          <w:sz w:val="22"/>
          <w:szCs w:val="22"/>
          <w:rtl/>
        </w:rPr>
        <w:t xml:space="preserve">حالة كل هدف (أخضر/أصفر/أحمر) ونسبة التقدم</w:t>
      </w:r>
    </w:p>
    <w:p>
      <w:pPr>
        <w:pStyle w:val="ListParagraph"/>
        <w:numPr>
          <w:ilvl w:val="0"/>
          <w:numId w:val="2"/>
        </w:numPr>
        <w:bidi/>
        <w:spacing w:after="60" w:before="60"/>
        <w:jc w:val="right"/>
      </w:pPr>
      <w:r>
        <w:rPr>
          <w:rFonts w:ascii="Arial" w:cs="Arial" w:eastAsia="Arial" w:hAnsi="Arial"/>
          <w:sz w:val="22"/>
          <w:szCs w:val="22"/>
          <w:rtl/>
        </w:rPr>
        <w:t xml:space="preserve">المؤشرات المتأخرة عن مستهدفها الربعي</w:t>
      </w:r>
    </w:p>
    <w:p>
      <w:pPr>
        <w:pStyle w:val="ListParagraph"/>
        <w:numPr>
          <w:ilvl w:val="0"/>
          <w:numId w:val="2"/>
        </w:numPr>
        <w:bidi/>
        <w:spacing w:after="60" w:before="60"/>
        <w:jc w:val="right"/>
      </w:pPr>
      <w:r>
        <w:rPr>
          <w:rFonts w:ascii="Arial" w:cs="Arial" w:eastAsia="Arial" w:hAnsi="Arial"/>
          <w:sz w:val="22"/>
          <w:szCs w:val="22"/>
          <w:rtl/>
        </w:rPr>
        <w:t xml:space="preserve">المبادرات المتعثّرة + سبب التعثّر</w:t>
      </w:r>
    </w:p>
    <w:p>
      <w:pPr>
        <w:pStyle w:val="ListParagraph"/>
        <w:numPr>
          <w:ilvl w:val="0"/>
          <w:numId w:val="2"/>
        </w:numPr>
        <w:bidi/>
        <w:spacing w:after="60" w:before="60"/>
        <w:jc w:val="right"/>
      </w:pPr>
      <w:r>
        <w:rPr>
          <w:rFonts w:ascii="Arial" w:cs="Arial" w:eastAsia="Arial" w:hAnsi="Arial"/>
          <w:sz w:val="22"/>
          <w:szCs w:val="22"/>
          <w:rtl/>
        </w:rPr>
        <w:t xml:space="preserve">سجل المخاطر مع حالات التحديث</w:t>
      </w:r>
    </w:p>
    <w:p>
      <w:pPr>
        <w:pStyle w:val="Heading2"/>
        <w:bidi/>
        <w:spacing w:after="160" w:before="240"/>
        <w:jc w:val="right"/>
      </w:pPr>
      <w:r>
        <w:rPr>
          <w:rFonts w:ascii="Arial" w:cs="Arial" w:eastAsia="Arial" w:hAnsi="Arial"/>
          <w:b/>
          <w:bCs/>
          <w:color w:val="2E75B6"/>
          <w:sz w:val="28"/>
          <w:szCs w:val="28"/>
          <w:rtl/>
        </w:rPr>
        <w:t xml:space="preserve">9.3 سياسة قبول المبادرات الجديدة</w:t>
      </w:r>
    </w:p>
    <w:p>
      <w:pPr>
        <w:bidi/>
        <w:spacing w:after="80" w:before="80"/>
        <w:jc w:val="right"/>
      </w:pPr>
      <w:r>
        <w:rPr>
          <w:rFonts w:ascii="Arial" w:cs="Arial" w:eastAsia="Arial" w:hAnsi="Arial"/>
          <w:sz w:val="22"/>
          <w:szCs w:val="22"/>
          <w:rtl/>
        </w:rPr>
        <w:t xml:space="preserve">فلتر خماسي ملزم — لا تُضاف مبادرة جديدة دون اجتياز الأسئلة الخمسة:</w:t>
      </w:r>
    </w:p>
    <w:p>
      <w:pPr>
        <w:pStyle w:val="ListParagraph"/>
        <w:numPr>
          <w:ilvl w:val="0"/>
          <w:numId w:val="2"/>
        </w:numPr>
        <w:bidi/>
        <w:spacing w:after="60" w:before="60"/>
        <w:jc w:val="right"/>
      </w:pPr>
      <w:r>
        <w:rPr>
          <w:rFonts w:ascii="Arial" w:cs="Arial" w:eastAsia="Arial" w:hAnsi="Arial"/>
          <w:sz w:val="22"/>
          <w:szCs w:val="22"/>
          <w:rtl/>
        </w:rPr>
        <w:t xml:space="preserve">1. هل لها مالك واضح ومحدد بالاسم؟</w:t>
      </w:r>
    </w:p>
    <w:p>
      <w:pPr>
        <w:pStyle w:val="ListParagraph"/>
        <w:numPr>
          <w:ilvl w:val="0"/>
          <w:numId w:val="2"/>
        </w:numPr>
        <w:bidi/>
        <w:spacing w:after="60" w:before="60"/>
        <w:jc w:val="right"/>
      </w:pPr>
      <w:r>
        <w:rPr>
          <w:rFonts w:ascii="Arial" w:cs="Arial" w:eastAsia="Arial" w:hAnsi="Arial"/>
          <w:sz w:val="22"/>
          <w:szCs w:val="22"/>
          <w:rtl/>
        </w:rPr>
        <w:t xml:space="preserve">2. هل لها مخرج قابل للقياس؟</w:t>
      </w:r>
    </w:p>
    <w:p>
      <w:pPr>
        <w:pStyle w:val="ListParagraph"/>
        <w:numPr>
          <w:ilvl w:val="0"/>
          <w:numId w:val="2"/>
        </w:numPr>
        <w:bidi/>
        <w:spacing w:after="60" w:before="60"/>
        <w:jc w:val="right"/>
      </w:pPr>
      <w:r>
        <w:rPr>
          <w:rFonts w:ascii="Arial" w:cs="Arial" w:eastAsia="Arial" w:hAnsi="Arial"/>
          <w:sz w:val="22"/>
          <w:szCs w:val="22"/>
          <w:rtl/>
        </w:rPr>
        <w:t xml:space="preserve">3. هل تخدم هدفاً استراتيجياً مباشراً؟</w:t>
      </w:r>
    </w:p>
    <w:p>
      <w:pPr>
        <w:pStyle w:val="ListParagraph"/>
        <w:numPr>
          <w:ilvl w:val="0"/>
          <w:numId w:val="2"/>
        </w:numPr>
        <w:bidi/>
        <w:spacing w:after="60" w:before="60"/>
        <w:jc w:val="right"/>
      </w:pPr>
      <w:r>
        <w:rPr>
          <w:rFonts w:ascii="Arial" w:cs="Arial" w:eastAsia="Arial" w:hAnsi="Arial"/>
          <w:sz w:val="22"/>
          <w:szCs w:val="22"/>
          <w:rtl/>
        </w:rPr>
        <w:t xml:space="preserve">4. هل تُنفَّذ بموارد الجمعية الحالية؟</w:t>
      </w:r>
    </w:p>
    <w:p>
      <w:pPr>
        <w:pStyle w:val="ListParagraph"/>
        <w:numPr>
          <w:ilvl w:val="0"/>
          <w:numId w:val="2"/>
        </w:numPr>
        <w:bidi/>
        <w:spacing w:after="60" w:before="60"/>
        <w:jc w:val="right"/>
      </w:pPr>
      <w:r>
        <w:rPr>
          <w:rFonts w:ascii="Arial" w:cs="Arial" w:eastAsia="Arial" w:hAnsi="Arial"/>
          <w:sz w:val="22"/>
          <w:szCs w:val="22"/>
          <w:rtl/>
        </w:rPr>
        <w:t xml:space="preserve">5. هل لا تكرر مبادرة قائمة؟</w:t>
      </w:r>
    </w:p>
    <w:p>
      <w:pPr>
        <w:pStyle w:val="Heading2"/>
        <w:bidi/>
        <w:spacing w:after="160" w:before="240"/>
        <w:jc w:val="right"/>
      </w:pPr>
      <w:r>
        <w:rPr>
          <w:rFonts w:ascii="Arial" w:cs="Arial" w:eastAsia="Arial" w:hAnsi="Arial"/>
          <w:b/>
          <w:bCs/>
          <w:color w:val="2E75B6"/>
          <w:sz w:val="28"/>
          <w:szCs w:val="28"/>
          <w:rtl/>
        </w:rPr>
        <w:t xml:space="preserve">9.4 ربط المبادرات بأهداف داعمة</w:t>
      </w:r>
    </w:p>
    <w:p>
      <w:pPr>
        <w:bidi/>
        <w:spacing w:after="80" w:before="80"/>
        <w:jc w:val="right"/>
      </w:pPr>
      <w:r>
        <w:rPr>
          <w:rFonts w:ascii="Arial" w:cs="Arial" w:eastAsia="Arial" w:hAnsi="Arial"/>
          <w:sz w:val="22"/>
          <w:szCs w:val="22"/>
          <w:rtl/>
        </w:rPr>
        <w:t xml:space="preserve">مبادرات تخدم أكثر من هدف تُسجَّل تحت هدفها الأصلي مع وسم نصي [يدعم: STR-XXX] في الوصف. مثال:</w:t>
      </w:r>
    </w:p>
    <w:p>
      <w:pPr>
        <w:pStyle w:val="ListParagraph"/>
        <w:numPr>
          <w:ilvl w:val="0"/>
          <w:numId w:val="2"/>
        </w:numPr>
        <w:bidi/>
        <w:spacing w:after="60" w:before="60"/>
        <w:jc w:val="right"/>
      </w:pPr>
      <w:r>
        <w:rPr>
          <w:rFonts w:ascii="Arial" w:cs="Arial" w:eastAsia="Arial" w:hAnsi="Arial"/>
          <w:sz w:val="22"/>
          <w:szCs w:val="22"/>
          <w:rtl/>
        </w:rPr>
        <w:t xml:space="preserve">INI-2026-025 (شراكة بنك التنمية): مسجَّلة تحت STR-016 مع [يدعم: STR-2026-007]</w:t>
      </w:r>
    </w:p>
    <w:p>
      <w:pPr>
        <w:pStyle w:val="ListParagraph"/>
        <w:numPr>
          <w:ilvl w:val="0"/>
          <w:numId w:val="2"/>
        </w:numPr>
        <w:bidi/>
        <w:spacing w:after="60" w:before="60"/>
        <w:jc w:val="right"/>
      </w:pPr>
      <w:r>
        <w:rPr>
          <w:rFonts w:ascii="Arial" w:cs="Arial" w:eastAsia="Arial" w:hAnsi="Arial"/>
          <w:sz w:val="22"/>
          <w:szCs w:val="22"/>
          <w:rtl/>
        </w:rPr>
        <w:t xml:space="preserve">INI-2026-026 (شراكة TVTC): مسجَّلة تحت STR-016 مع [يدعم: STR-2026-004]</w:t>
      </w:r>
    </w:p>
    <w:p>
      <w:r>
        <w:br w:type="page"/>
      </w:r>
    </w:p>
    <w:p>
      <w:pPr>
        <w:pStyle w:val="Heading1"/>
        <w:bidi/>
        <w:spacing w:after="240" w:before="360"/>
        <w:jc w:val="right"/>
      </w:pPr>
      <w:r>
        <w:rPr>
          <w:rFonts w:ascii="Arial" w:cs="Arial" w:eastAsia="Arial" w:hAnsi="Arial"/>
          <w:b/>
          <w:bCs/>
          <w:color w:val="1F4E79"/>
          <w:sz w:val="32"/>
          <w:szCs w:val="32"/>
          <w:rtl/>
        </w:rPr>
        <w:t xml:space="preserve">10. القرارات المطلوبة من المجلس</w:t>
      </w:r>
    </w:p>
    <w:p>
      <w:pPr>
        <w:bidi/>
        <w:spacing w:after="80" w:before="80"/>
        <w:jc w:val="right"/>
      </w:pPr>
      <w:r>
        <w:rPr>
          <w:rFonts w:ascii="Arial" w:cs="Arial" w:eastAsia="Arial" w:hAnsi="Arial"/>
          <w:sz w:val="22"/>
          <w:szCs w:val="22"/>
          <w:rtl/>
        </w:rPr>
        <w:t xml:space="preserve">تطلب الإدارة التنفيذية من مجلس الإدارة اتخاذ القرارات التالية:</w:t>
      </w:r>
    </w:p>
    <w:p>
      <w:pPr>
        <w:pStyle w:val="Heading2"/>
        <w:bidi/>
        <w:spacing w:after="160" w:before="240"/>
        <w:jc w:val="right"/>
      </w:pPr>
      <w:r>
        <w:rPr>
          <w:rFonts w:ascii="Arial" w:cs="Arial" w:eastAsia="Arial" w:hAnsi="Arial"/>
          <w:b/>
          <w:bCs/>
          <w:color w:val="2E75B6"/>
          <w:sz w:val="28"/>
          <w:szCs w:val="28"/>
          <w:rtl/>
        </w:rPr>
        <w:t xml:space="preserve">قرار 1 — اعتماد الخطة كإطار خماسي</w:t>
      </w:r>
    </w:p>
    <w:p>
      <w:pPr>
        <w:bidi/>
        <w:spacing w:after="80" w:before="80"/>
        <w:jc w:val="right"/>
      </w:pPr>
      <w:r>
        <w:rPr>
          <w:rFonts w:ascii="Arial" w:cs="Arial" w:eastAsia="Arial" w:hAnsi="Arial"/>
          <w:sz w:val="22"/>
          <w:szCs w:val="22"/>
          <w:rtl/>
        </w:rPr>
        <w:t xml:space="preserve">اعتماد الخطة الاستراتيجية 2026-2030 كإطار تنفيذي ملزم لمدة خمس سنوات، مع المراجعة السنوية في نهاية كل عام مالي.</w:t>
      </w:r>
    </w:p>
    <w:p>
      <w:pPr>
        <w:pStyle w:val="Heading2"/>
        <w:bidi/>
        <w:spacing w:after="160" w:before="240"/>
        <w:jc w:val="right"/>
      </w:pPr>
      <w:r>
        <w:rPr>
          <w:rFonts w:ascii="Arial" w:cs="Arial" w:eastAsia="Arial" w:hAnsi="Arial"/>
          <w:b/>
          <w:bCs/>
          <w:color w:val="2E75B6"/>
          <w:sz w:val="28"/>
          <w:szCs w:val="28"/>
          <w:rtl/>
        </w:rPr>
        <w:t xml:space="preserve">قرار 2 — اعتماد منظومة المراجعة الربعية</w:t>
      </w:r>
    </w:p>
    <w:p>
      <w:pPr>
        <w:bidi/>
        <w:spacing w:after="80" w:before="80"/>
        <w:jc w:val="right"/>
      </w:pPr>
      <w:r>
        <w:rPr>
          <w:rFonts w:ascii="Arial" w:cs="Arial" w:eastAsia="Arial" w:hAnsi="Arial"/>
          <w:sz w:val="22"/>
          <w:szCs w:val="22"/>
          <w:rtl/>
        </w:rPr>
        <w:t xml:space="preserve">اعتماد المراجعة الربعية المُلزمة كآلية رسمية للمتابعة، يحضرها أعضاء من مجلس الإدارة بصفة مراقب على الأقل في الربع الأخير.</w:t>
      </w:r>
    </w:p>
    <w:p>
      <w:pPr>
        <w:pStyle w:val="Heading2"/>
        <w:bidi/>
        <w:spacing w:after="160" w:before="240"/>
        <w:jc w:val="right"/>
      </w:pPr>
      <w:r>
        <w:rPr>
          <w:rFonts w:ascii="Arial" w:cs="Arial" w:eastAsia="Arial" w:hAnsi="Arial"/>
          <w:b/>
          <w:bCs/>
          <w:color w:val="2E75B6"/>
          <w:sz w:val="28"/>
          <w:szCs w:val="28"/>
          <w:rtl/>
        </w:rPr>
        <w:t xml:space="preserve">قرار 3 — تخصيص الموارد</w:t>
      </w:r>
    </w:p>
    <w:p>
      <w:pPr>
        <w:pStyle w:val="ListParagraph"/>
        <w:numPr>
          <w:ilvl w:val="0"/>
          <w:numId w:val="2"/>
        </w:numPr>
        <w:bidi/>
        <w:spacing w:after="60" w:before="60"/>
        <w:jc w:val="right"/>
      </w:pPr>
      <w:r>
        <w:rPr>
          <w:rFonts w:ascii="Arial" w:cs="Arial" w:eastAsia="Arial" w:hAnsi="Arial"/>
          <w:sz w:val="22"/>
          <w:szCs w:val="22"/>
          <w:rtl/>
        </w:rPr>
        <w:t xml:space="preserve">دعم تعيين منسقَين تنفيذيَّين لمسارَي التمكين والتحول الرقمي خلال Q3 2026</w:t>
      </w:r>
    </w:p>
    <w:p>
      <w:pPr>
        <w:pStyle w:val="ListParagraph"/>
        <w:numPr>
          <w:ilvl w:val="0"/>
          <w:numId w:val="2"/>
        </w:numPr>
        <w:bidi/>
        <w:spacing w:after="60" w:before="60"/>
        <w:jc w:val="right"/>
      </w:pPr>
      <w:r>
        <w:rPr>
          <w:rFonts w:ascii="Arial" w:cs="Arial" w:eastAsia="Arial" w:hAnsi="Arial"/>
          <w:sz w:val="22"/>
          <w:szCs w:val="22"/>
          <w:rtl/>
        </w:rPr>
        <w:t xml:space="preserve">تخصيص ميزانية مسار الاعتماد المؤسسي السعودي (Z + Bayanat + ICCT)</w:t>
      </w:r>
    </w:p>
    <w:p>
      <w:pPr>
        <w:pStyle w:val="ListParagraph"/>
        <w:numPr>
          <w:ilvl w:val="0"/>
          <w:numId w:val="2"/>
        </w:numPr>
        <w:bidi/>
        <w:spacing w:after="60" w:before="60"/>
        <w:jc w:val="right"/>
      </w:pPr>
      <w:r>
        <w:rPr>
          <w:rFonts w:ascii="Arial" w:cs="Arial" w:eastAsia="Arial" w:hAnsi="Arial"/>
          <w:sz w:val="22"/>
          <w:szCs w:val="22"/>
          <w:rtl/>
        </w:rPr>
        <w:t xml:space="preserve">دعم وظيفة إدارة علاقات الشركاء (مسؤول + سجل CRM)</w:t>
      </w:r>
    </w:p>
    <w:p>
      <w:pPr>
        <w:pStyle w:val="Heading2"/>
        <w:bidi/>
        <w:spacing w:after="160" w:before="240"/>
        <w:jc w:val="right"/>
      </w:pPr>
      <w:r>
        <w:rPr>
          <w:rFonts w:ascii="Arial" w:cs="Arial" w:eastAsia="Arial" w:hAnsi="Arial"/>
          <w:b/>
          <w:bCs/>
          <w:color w:val="2E75B6"/>
          <w:sz w:val="28"/>
          <w:szCs w:val="28"/>
          <w:rtl/>
        </w:rPr>
        <w:t xml:space="preserve">قرار 4 — السياسة الإعلامية</w:t>
      </w:r>
    </w:p>
    <w:p>
      <w:pPr>
        <w:bidi/>
        <w:spacing w:after="80" w:before="80"/>
        <w:jc w:val="right"/>
      </w:pPr>
      <w:r>
        <w:rPr>
          <w:rFonts w:ascii="Arial" w:cs="Arial" w:eastAsia="Arial" w:hAnsi="Arial"/>
          <w:sz w:val="22"/>
          <w:szCs w:val="22"/>
          <w:rtl/>
        </w:rPr>
        <w:t xml:space="preserve">تفويض الإدارة التنفيذية بإعداد بيان مجتمعي شفّاف يعرض الإنجازات والقيود معاً، استناداً إلى منهج تقارير ربعية بسيطة تُنشر للمجتمع المحلي.</w:t>
      </w:r>
    </w:p>
    <w:p>
      <w:pPr>
        <w:pStyle w:val="Heading2"/>
        <w:bidi/>
        <w:spacing w:after="160" w:before="240"/>
        <w:jc w:val="right"/>
      </w:pPr>
      <w:r>
        <w:rPr>
          <w:rFonts w:ascii="Arial" w:cs="Arial" w:eastAsia="Arial" w:hAnsi="Arial"/>
          <w:b/>
          <w:bCs/>
          <w:color w:val="2E75B6"/>
          <w:sz w:val="28"/>
          <w:szCs w:val="28"/>
          <w:rtl/>
        </w:rPr>
        <w:t xml:space="preserve">قرار 5 — الموقف من الادّعاءات الطموحة</w:t>
      </w:r>
    </w:p>
    <w:p>
      <w:pPr>
        <w:bidi/>
        <w:spacing w:after="80" w:before="80"/>
        <w:jc w:val="right"/>
      </w:pPr>
      <w:r>
        <w:rPr>
          <w:rFonts w:ascii="Arial" w:cs="Arial" w:eastAsia="Arial" w:hAnsi="Arial"/>
          <w:sz w:val="22"/>
          <w:szCs w:val="22"/>
          <w:rtl/>
        </w:rPr>
        <w:t xml:space="preserve">إقرار التعديلات على الأهداف الطموحة غير المتطابقة مع الواقع:</w:t>
      </w:r>
    </w:p>
    <w:p>
      <w:pPr>
        <w:pStyle w:val="ListParagraph"/>
        <w:numPr>
          <w:ilvl w:val="0"/>
          <w:numId w:val="2"/>
        </w:numPr>
        <w:bidi/>
        <w:spacing w:after="60" w:before="60"/>
        <w:jc w:val="right"/>
      </w:pPr>
      <w:r>
        <w:rPr>
          <w:rFonts w:ascii="Arial" w:cs="Arial" w:eastAsia="Arial" w:hAnsi="Arial"/>
          <w:sz w:val="22"/>
          <w:szCs w:val="22"/>
          <w:rtl/>
        </w:rPr>
        <w:t xml:space="preserve">تعديل هدف 13,000 أسرة → نموذج النمو المتسارع للوصول إلى 4,500 ملف بحلول 2030</w:t>
      </w:r>
    </w:p>
    <w:p>
      <w:pPr>
        <w:pStyle w:val="ListParagraph"/>
        <w:numPr>
          <w:ilvl w:val="0"/>
          <w:numId w:val="2"/>
        </w:numPr>
        <w:bidi/>
        <w:spacing w:after="60" w:before="60"/>
        <w:jc w:val="right"/>
      </w:pPr>
      <w:r>
        <w:rPr>
          <w:rFonts w:ascii="Arial" w:cs="Arial" w:eastAsia="Arial" w:hAnsi="Arial"/>
          <w:sz w:val="22"/>
          <w:szCs w:val="22"/>
          <w:rtl/>
        </w:rPr>
        <w:t xml:space="preserve">تعديل هدف 870 يتيم → 200 يتيم بحلول 2027</w:t>
      </w:r>
    </w:p>
    <w:p>
      <w:pPr>
        <w:pStyle w:val="ListParagraph"/>
        <w:numPr>
          <w:ilvl w:val="0"/>
          <w:numId w:val="2"/>
        </w:numPr>
        <w:bidi/>
        <w:spacing w:after="60" w:before="60"/>
        <w:jc w:val="right"/>
      </w:pPr>
      <w:r>
        <w:rPr>
          <w:rFonts w:ascii="Arial" w:cs="Arial" w:eastAsia="Arial" w:hAnsi="Arial"/>
          <w:sz w:val="22"/>
          <w:szCs w:val="22"/>
          <w:rtl/>
        </w:rPr>
        <w:t xml:space="preserve">تأكيد الإيرادات والموارد الذاتية بعد استلام التقرير المالي 2025</w:t>
      </w:r>
    </w:p>
    <w:p>
      <w:r>
        <w:br w:type="page"/>
      </w:r>
    </w:p>
    <w:p>
      <w:pPr>
        <w:pStyle w:val="Heading1"/>
        <w:bidi/>
        <w:spacing w:after="240" w:before="360"/>
        <w:jc w:val="right"/>
      </w:pPr>
      <w:r>
        <w:rPr>
          <w:rFonts w:ascii="Arial" w:cs="Arial" w:eastAsia="Arial" w:hAnsi="Arial"/>
          <w:b/>
          <w:bCs/>
          <w:color w:val="1F4E79"/>
          <w:sz w:val="32"/>
          <w:szCs w:val="32"/>
          <w:rtl/>
        </w:rPr>
        <w:t xml:space="preserve">11. الخلاصة</w:t>
      </w:r>
    </w:p>
    <w:p>
      <w:pPr>
        <w:bidi/>
        <w:spacing w:after="80" w:before="80"/>
        <w:jc w:val="right"/>
      </w:pPr>
      <w:r>
        <w:rPr>
          <w:rFonts w:ascii="Arial" w:cs="Arial" w:eastAsia="Arial" w:hAnsi="Arial"/>
          <w:sz w:val="22"/>
          <w:szCs w:val="22"/>
          <w:rtl/>
        </w:rPr>
        <w:t xml:space="preserve">تنتقل جمعية البر الخيرية بصبيا في هذه المرحلة من خطة ورقية تقليدية إلى منظومة تنفيذ مؤسسية متكاملة، مدعومة بنظام إدارة جودة (QMS) مُختبَر ومنشور على بنية إنتاج فعلية، يُتيح المتابعة الفورية لكل مؤشر ومبادرة.</w:t>
      </w:r>
    </w:p>
    <w:p>
      <w:pPr>
        <w:bidi/>
        <w:spacing w:after="80" w:before="80"/>
        <w:jc w:val="right"/>
      </w:pPr>
      <w:r>
        <w:rPr>
          <w:rFonts w:ascii="Arial" w:cs="Arial" w:eastAsia="Arial" w:hAnsi="Arial"/>
          <w:b/>
          <w:bCs/>
          <w:sz w:val="22"/>
          <w:szCs w:val="22"/>
          <w:rtl/>
        </w:rPr>
        <w:t xml:space="preserve">الفرق بين الخطة السابقة وما يُعرض اليوم ليس في الطموح وحده، بل في الانتقال إلى:</w:t>
      </w:r>
    </w:p>
    <w:p>
      <w:pPr>
        <w:pStyle w:val="ListParagraph"/>
        <w:numPr>
          <w:ilvl w:val="0"/>
          <w:numId w:val="2"/>
        </w:numPr>
        <w:bidi/>
        <w:spacing w:after="60" w:before="60"/>
        <w:jc w:val="right"/>
      </w:pPr>
      <w:r>
        <w:rPr>
          <w:rFonts w:ascii="Arial" w:cs="Arial" w:eastAsia="Arial" w:hAnsi="Arial"/>
          <w:sz w:val="22"/>
          <w:szCs w:val="22"/>
          <w:rtl/>
        </w:rPr>
        <w:t xml:space="preserve">قياس مبني على بيانات حقيقية لا تقديرات</w:t>
      </w:r>
    </w:p>
    <w:p>
      <w:pPr>
        <w:pStyle w:val="ListParagraph"/>
        <w:numPr>
          <w:ilvl w:val="0"/>
          <w:numId w:val="2"/>
        </w:numPr>
        <w:bidi/>
        <w:spacing w:after="60" w:before="60"/>
        <w:jc w:val="right"/>
      </w:pPr>
      <w:r>
        <w:rPr>
          <w:rFonts w:ascii="Arial" w:cs="Arial" w:eastAsia="Arial" w:hAnsi="Arial"/>
          <w:sz w:val="22"/>
          <w:szCs w:val="22"/>
          <w:rtl/>
        </w:rPr>
        <w:t xml:space="preserve">مالكية شخصية واضحة لكل هدف ومبادرة</w:t>
      </w:r>
    </w:p>
    <w:p>
      <w:pPr>
        <w:pStyle w:val="ListParagraph"/>
        <w:numPr>
          <w:ilvl w:val="0"/>
          <w:numId w:val="2"/>
        </w:numPr>
        <w:bidi/>
        <w:spacing w:after="60" w:before="60"/>
        <w:jc w:val="right"/>
      </w:pPr>
      <w:r>
        <w:rPr>
          <w:rFonts w:ascii="Arial" w:cs="Arial" w:eastAsia="Arial" w:hAnsi="Arial"/>
          <w:sz w:val="22"/>
          <w:szCs w:val="22"/>
          <w:rtl/>
        </w:rPr>
        <w:t xml:space="preserve">شفافية صريحة في عرض القيود والمخاطر</w:t>
      </w:r>
    </w:p>
    <w:p>
      <w:pPr>
        <w:pStyle w:val="ListParagraph"/>
        <w:numPr>
          <w:ilvl w:val="0"/>
          <w:numId w:val="2"/>
        </w:numPr>
        <w:bidi/>
        <w:spacing w:after="60" w:before="60"/>
        <w:jc w:val="right"/>
      </w:pPr>
      <w:r>
        <w:rPr>
          <w:rFonts w:ascii="Arial" w:cs="Arial" w:eastAsia="Arial" w:hAnsi="Arial"/>
          <w:sz w:val="22"/>
          <w:szCs w:val="22"/>
          <w:rtl/>
        </w:rPr>
        <w:t xml:space="preserve">منظومة مراجعة ربعية مُلزمة</w:t>
      </w:r>
    </w:p>
    <w:p>
      <w:pPr>
        <w:pStyle w:val="ListParagraph"/>
        <w:numPr>
          <w:ilvl w:val="0"/>
          <w:numId w:val="2"/>
        </w:numPr>
        <w:bidi/>
        <w:spacing w:after="60" w:before="60"/>
        <w:jc w:val="right"/>
      </w:pPr>
      <w:r>
        <w:rPr>
          <w:rFonts w:ascii="Arial" w:cs="Arial" w:eastAsia="Arial" w:hAnsi="Arial"/>
          <w:sz w:val="22"/>
          <w:szCs w:val="22"/>
          <w:rtl/>
        </w:rPr>
        <w:t xml:space="preserve">فلتر قبول صارم يمنع تضخّم المبادرات على حساب التركيز</w:t>
      </w:r>
    </w:p>
    <w:p>
      <w:pPr>
        <w:bidi/>
        <w:spacing w:before="240"/>
        <w:jc w:val="right"/>
      </w:pPr>
      <w:r>
        <w:rPr>
          <w:rFonts w:ascii="Arial" w:cs="Arial" w:eastAsia="Arial" w:hAnsi="Arial"/>
          <w:sz w:val="22"/>
          <w:szCs w:val="22"/>
          <w:rtl/>
        </w:rPr>
        <w:t xml:space="preserve">نلتمس من مجلس الإدارة الموقّر اعتماد هذه الخطة بأقسامها، وتخصيص الدعم اللازم لمسارها التنفيذي، استكمالاً لمسيرة الجمعية في خدمة المجتمع المحلي بصبيا.</w:t>
      </w:r>
    </w:p>
    <w:p>
      <w:pPr>
        <w:bidi/>
        <w:spacing w:after="80" w:before="80"/>
        <w:jc w:val="right"/>
      </w:pPr>
      <w:r>
        <w:rPr>
          <w:rFonts w:ascii="Arial" w:cs="Arial" w:eastAsia="Arial" w:hAnsi="Arial"/>
          <w:sz w:val="22"/>
          <w:szCs w:val="22"/>
          <w:rtl/>
        </w:rPr>
        <w:t xml:space="preserve"/>
      </w:r>
    </w:p>
    <w:p>
      <w:pPr>
        <w:bidi/>
        <w:spacing w:after="80" w:before="80"/>
        <w:jc w:val="center"/>
      </w:pPr>
      <w:r>
        <w:rPr>
          <w:rFonts w:ascii="Arial" w:cs="Arial" w:eastAsia="Arial" w:hAnsi="Arial"/>
          <w:b/>
          <w:bCs/>
          <w:color w:val="1F4E79"/>
          <w:sz w:val="26"/>
          <w:szCs w:val="26"/>
          <w:rtl/>
        </w:rPr>
        <w:t xml:space="preserve">والله ولي التوفيق</w:t>
      </w:r>
    </w:p>
    <w:p>
      <w:pPr>
        <w:bidi/>
        <w:spacing w:after="80" w:before="80"/>
        <w:jc w:val="right"/>
      </w:pPr>
      <w:r>
        <w:rPr>
          <w:rFonts w:ascii="Arial" w:cs="Arial" w:eastAsia="Arial" w:hAnsi="Arial"/>
          <w:sz w:val="22"/>
          <w:szCs w:val="22"/>
          <w:rtl/>
        </w:rPr>
        <w:t xml:space="preserve"/>
      </w:r>
    </w:p>
    <w:p>
      <w:pPr>
        <w:bidi/>
        <w:spacing w:after="80" w:before="80"/>
        <w:jc w:val="center"/>
      </w:pPr>
      <w:r>
        <w:rPr>
          <w:rFonts w:ascii="Arial" w:cs="Arial" w:eastAsia="Arial" w:hAnsi="Arial"/>
          <w:sz w:val="22"/>
          <w:szCs w:val="22"/>
          <w:rtl/>
        </w:rPr>
        <w:t xml:space="preserve">المدير التنفيذي</w:t>
      </w:r>
    </w:p>
    <w:p>
      <w:pPr>
        <w:bidi/>
        <w:spacing w:after="80" w:before="80"/>
        <w:jc w:val="center"/>
      </w:pPr>
      <w:r>
        <w:rPr>
          <w:rFonts w:ascii="Arial" w:cs="Arial" w:eastAsia="Arial" w:hAnsi="Arial"/>
          <w:b/>
          <w:bCs/>
          <w:sz w:val="24"/>
          <w:szCs w:val="24"/>
          <w:rtl/>
        </w:rPr>
        <w:t xml:space="preserve">عبدالرحمن عقيل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صفحة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Arial" w:cs="Arial" w:eastAsia="Arial" w:hAnsi="Arial"/>
        <w:color w:val="595959"/>
        <w:sz w:val="18"/>
        <w:szCs w:val="18"/>
        <w:rtl/>
      </w:rPr>
      <w:t xml:space="preserve">الخطة الاستراتيجية 2026-2030 — جمعية البر الخيرية بصبيا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240" w:before="360"/>
      <w:jc w:val="right"/>
      <w:outlineLvl w:val="0"/>
    </w:pPr>
    <w:rPr>
      <w:rFonts w:ascii="Arial" w:cs="Arial" w:eastAsia="Arial" w:hAnsi="Arial"/>
      <w:b/>
      <w:bCs/>
      <w:color w:val="1F4E79"/>
      <w:sz w:val="32"/>
      <w:szCs w:val="32"/>
    </w:rPr>
  </w:style>
  <w:style w:type="paragraph" w:styleId="Heading2">
    <w:name w:val="Heading 2"/>
    <w:basedOn w:val="Normal"/>
    <w:next w:val="Normal"/>
    <w:qFormat/>
    <w:pPr>
      <w:bidi/>
      <w:spacing w:after="160" w:before="240"/>
      <w:jc w:val="right"/>
      <w:outlineLvl w:val="1"/>
    </w:pPr>
    <w:rPr>
      <w:rFonts w:ascii="Arial" w:cs="Arial" w:eastAsia="Arial" w:hAnsi="Arial"/>
      <w:b/>
      <w:bCs/>
      <w:color w:val="2E75B6"/>
      <w:sz w:val="28"/>
      <w:szCs w:val="28"/>
    </w:rPr>
  </w:style>
  <w:style w:type="paragraph" w:styleId="Heading3">
    <w:name w:val="Heading 3"/>
    <w:basedOn w:val="Normal"/>
    <w:next w:val="Normal"/>
    <w:qFormat/>
    <w:pPr>
      <w:bidi/>
      <w:spacing w:after="100" w:before="160"/>
      <w:jc w:val="right"/>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الخطة الاستراتيجية 2026-2030</dc:title>
  <dc:creator>جمعية البر الخيرية بصبيا</dc:creator>
  <dc:description>وثيقة عرض الخطة الاستراتيجية لمجلس الإدارة</dc:description>
  <cp:lastModifiedBy>Un-named</cp:lastModifiedBy>
  <cp:revision>1</cp:revision>
  <dcterms:created xsi:type="dcterms:W3CDTF">2026-05-01T15:00:12.423Z</dcterms:created>
  <dcterms:modified xsi:type="dcterms:W3CDTF">2026-05-01T15:00:12.424Z</dcterms:modified>
</cp:coreProperties>
</file>

<file path=docProps/custom.xml><?xml version="1.0" encoding="utf-8"?>
<Properties xmlns="http://schemas.openxmlformats.org/officeDocument/2006/custom-properties" xmlns:vt="http://schemas.openxmlformats.org/officeDocument/2006/docPropsVTypes"/>
</file>