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right"/>
      </w:pPr>
      <w:r>
        <w:rPr>
          <w:rFonts w:ascii="Arial" w:cs="Arial" w:eastAsia="Arial" w:hAnsi="Arial"/>
          <w:b w:val="false"/>
          <w:bCs w:val="false"/>
          <w:i w:val="false"/>
          <w:iCs w:val="false"/>
          <w:color w:val="1F2937"/>
          <w:sz w:val="22"/>
          <w:szCs w:val="22"/>
        </w:rPr>
        <w:t xml:space="preserve"/>
      </w:r>
    </w:p>
    <w:p>
      <w:pPr>
        <w:shd w:fill="1F4E79" w:val="clear"/>
        <w:spacing w:after="80" w:before="0"/>
        <w:ind w:left="200" w:right="200"/>
        <w:jc w:val="center"/>
      </w:pPr>
      <w:r>
        <w:rPr>
          <w:rFonts w:ascii="Arial" w:cs="Arial" w:eastAsia="Arial" w:hAnsi="Arial"/>
          <w:b/>
          <w:bCs/>
          <w:color w:val="FFFFFF"/>
          <w:sz w:val="56"/>
          <w:szCs w:val="56"/>
        </w:rPr>
        <w:t xml:space="preserve">نظام إدارة الجودة</w:t>
      </w:r>
    </w:p>
    <w:p>
      <w:pPr>
        <w:shd w:fill="1F4E79" w:val="clear"/>
        <w:spacing w:after="320" w:before="0"/>
        <w:ind w:left="200" w:right="200"/>
        <w:jc w:val="center"/>
      </w:pPr>
      <w:r>
        <w:rPr>
          <w:rFonts w:ascii="Arial" w:cs="Arial" w:eastAsia="Arial" w:hAnsi="Arial"/>
          <w:i/>
          <w:iCs/>
          <w:color w:val="BDD7EE"/>
          <w:sz w:val="26"/>
          <w:szCs w:val="26"/>
        </w:rPr>
        <w:t xml:space="preserve">Quality Management System — aqiltech.sa</w:t>
      </w:r>
    </w:p>
    <w:p>
      <w:pPr>
        <w:spacing w:after="80" w:before="240"/>
        <w:jc w:val="center"/>
      </w:pPr>
      <w:r>
        <w:rPr>
          <w:rFonts w:ascii="Arial" w:cs="Arial" w:eastAsia="Arial" w:hAnsi="Arial"/>
          <w:b/>
          <w:bCs/>
          <w:i w:val="false"/>
          <w:iCs w:val="false"/>
          <w:color w:val="1F4E79"/>
          <w:sz w:val="48"/>
          <w:szCs w:val="48"/>
        </w:rPr>
        <w:t xml:space="preserve">تقرير إعادة هيكلة</w:t>
      </w:r>
    </w:p>
    <w:p>
      <w:pPr>
        <w:spacing w:after="80" w:before="0"/>
        <w:jc w:val="center"/>
      </w:pPr>
      <w:r>
        <w:rPr>
          <w:rFonts w:ascii="Arial" w:cs="Arial" w:eastAsia="Arial" w:hAnsi="Arial"/>
          <w:b/>
          <w:bCs/>
          <w:i w:val="false"/>
          <w:iCs w:val="false"/>
          <w:color w:val="1F2937"/>
          <w:sz w:val="36"/>
          <w:szCs w:val="36"/>
        </w:rPr>
        <w:t xml:space="preserve">وحدة التخطيط الاستراتيجي — الإصدار الثاني</w:t>
      </w:r>
    </w:p>
    <w:p>
      <w:pPr>
        <w:spacing w:after="320" w:before="0"/>
        <w:jc w:val="center"/>
      </w:pPr>
      <w:r>
        <w:rPr>
          <w:rFonts w:ascii="Arial" w:cs="Arial" w:eastAsia="Arial" w:hAnsi="Arial"/>
          <w:b w:val="false"/>
          <w:bCs w:val="false"/>
          <w:i/>
          <w:iCs/>
          <w:color w:val="6B7280"/>
          <w:sz w:val="20"/>
          <w:szCs w:val="20"/>
        </w:rPr>
        <w:t xml:space="preserve">BSC v2: Axis · Indicator · AnnualTarget · Initiative · FundingPlan · PlanVersion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التاريخ</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26 أبريل 2026</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الإصدار</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2.0.0</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البيئة</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Production — quality.aqiltech.sa</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Commits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430c657 · ce26ad0</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الكود</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1,693 سطر مضاف — 21 ملفاً</w:t>
            </w:r>
          </w:p>
        </w:tc>
      </w:tr>
    </w:tbl>
    <w:p>
      <w:r>
        <w:br w:type="page"/>
      </w:r>
    </w:p>
    <w:p>
      <w:pPr>
        <w:pStyle w:val="Heading1"/>
        <w:shd w:fill="1F4E79" w:val="clear"/>
        <w:spacing w:after="160" w:before="320"/>
        <w:ind w:left="120" w:right="120"/>
        <w:jc w:val="right"/>
      </w:pPr>
      <w:r>
        <w:rPr>
          <w:rFonts w:ascii="Arial" w:cs="Arial" w:eastAsia="Arial" w:hAnsi="Arial"/>
          <w:b/>
          <w:bCs/>
          <w:color w:val="FFFFFF"/>
          <w:sz w:val="30"/>
          <w:szCs w:val="30"/>
        </w:rPr>
        <w:t xml:space="preserve">1. الملخص التنفيذي</w:t>
      </w:r>
    </w:p>
    <w:p>
      <w:pPr>
        <w:spacing w:after="160" w:before="80"/>
        <w:jc w:val="right"/>
      </w:pPr>
      <w:r>
        <w:rPr>
          <w:rFonts w:ascii="Arial" w:cs="Arial" w:eastAsia="Arial" w:hAnsi="Arial"/>
          <w:b w:val="false"/>
          <w:bCs w:val="false"/>
          <w:i w:val="false"/>
          <w:iCs w:val="false"/>
          <w:color w:val="1F2937"/>
          <w:sz w:val="21"/>
          <w:szCs w:val="21"/>
        </w:rPr>
        <w:t xml:space="preserve">يُوثّق هذا التقرير إعادة الهيكلة المعمارية الشاملة لوحدة التخطيط الاستراتيجي في نظام إدارة الجودة. المشكلة الأصلية كانت دمج هدف (Objective) مع مؤشر الأداء (KPI) في نموذج واحد، مما يُقيّد قدرة النظام على التوسع وفق معايير BSC وEFQM وISO 9001 التي تُفرّق بوضوح بين الهدف الاستراتيجي وأداة قياسه.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البند</w:t>
            </w:r>
          </w:p>
        </w:tc>
        <w:tc>
          <w:tcPr>
            <w:tcW w:type="dxa" w:w="72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التفاصيل</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النطاق</w:t>
            </w:r>
          </w:p>
        </w:tc>
        <w:tc>
          <w:tcPr>
            <w:tcW w:type="dxa" w:w="7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6 مراحل: Schema · Services · Routes×7 · كود موجود×3 · Permissions · AI · Frontend</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الكود المضاف</w:t>
            </w:r>
          </w:p>
        </w:tc>
        <w:tc>
          <w:tcPr>
            <w:tcW w:type="dxa" w:w="7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1,693 سطر مضاف، 66 معدّل — 21 ملفاً في commit واحد</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نماذج جديدة</w:t>
            </w:r>
          </w:p>
        </w:tc>
        <w:tc>
          <w:tcPr>
            <w:tcW w:type="dxa" w:w="7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7: Axis · Indicator · AnnualTarget · Initiative · FundingSource · FundingPlan · StrategicPlanVersion</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Routes جديدة</w:t>
            </w:r>
          </w:p>
        </w:tc>
        <w:tc>
          <w:tcPr>
            <w:tcW w:type="dxa" w:w="7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7: axes · indicators · annual-targets · initiatives · funding-sources · funding-plans · plan-versions</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حالة Production</w:t>
            </w:r>
          </w:p>
        </w:tc>
        <w:tc>
          <w:tcPr>
            <w:tcW w:type="dxa" w:w="7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جميع الـ endpoints تُرجع ok:true على quality.aqiltech.sa</w:t>
            </w:r>
          </w:p>
        </w:tc>
      </w:tr>
    </w:tbl>
    <w:p>
      <w:pPr>
        <w:spacing w:after="80" w:before="80"/>
        <w:jc w:val="right"/>
      </w:pPr>
      <w:r>
        <w:rPr>
          <w:rFonts w:ascii="Arial" w:cs="Arial" w:eastAsia="Arial" w:hAnsi="Arial"/>
          <w:b w:val="false"/>
          <w:bCs w:val="false"/>
          <w:i w:val="false"/>
          <w:iCs w:val="false"/>
          <w:color w:val="1F2937"/>
          <w:sz w:val="22"/>
          <w:szCs w:val="22"/>
        </w:rPr>
        <w:t xml:space="preserve"/>
      </w:r>
    </w:p>
    <w:p>
      <w:pPr>
        <w:pStyle w:val="Heading1"/>
        <w:shd w:fill="1F4E79" w:val="clear"/>
        <w:spacing w:after="160" w:before="320"/>
        <w:ind w:left="120" w:right="120"/>
        <w:jc w:val="right"/>
      </w:pPr>
      <w:r>
        <w:rPr>
          <w:rFonts w:ascii="Arial" w:cs="Arial" w:eastAsia="Arial" w:hAnsi="Arial"/>
          <w:b/>
          <w:bCs/>
          <w:color w:val="FFFFFF"/>
          <w:sz w:val="30"/>
          <w:szCs w:val="30"/>
        </w:rPr>
        <w:t xml:space="preserve">2. القرارات المعمارية الحاسمة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c>
          <w:tcPr>
            <w:tcW w:type="dxa" w:w="24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القرار</w:t>
            </w:r>
          </w:p>
        </w:tc>
        <w:tc>
          <w:tcPr>
            <w:tcW w:type="dxa" w:w="34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الاختيار</w:t>
            </w:r>
          </w:p>
        </w:tc>
        <w:tc>
          <w:tcPr>
            <w:tcW w:type="dxa" w:w="38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السبب</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Indicator vs Objective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فصل كامل — نموذج Indicator مستقل</w:t>
            </w:r>
          </w:p>
        </w:tc>
        <w:tc>
          <w:tcPr>
            <w:tcW w:type="dxa" w:w="3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BSC/EFQM/ISO تفصل الهدف عن أداة القياس</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AnnualTarget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جدول مستقل @@unique([indicatorId, year])</w:t>
            </w:r>
          </w:p>
        </w:tc>
        <w:tc>
          <w:tcPr>
            <w:tcW w:type="dxa" w:w="3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JSONB يضعف Auditability والـ querying الزمني</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KpiEntry FKs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Triple-FK + CHECK constraint — exactly one FK</w:t>
            </w:r>
          </w:p>
        </w:tc>
        <w:tc>
          <w:tcPr>
            <w:tcW w:type="dxa" w:w="3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أكثر أماناً من 3 جداول منفصلة</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Column Rename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RENAME COLUMN بدلاً من DROP + ADD</w:t>
            </w:r>
          </w:p>
        </w:tc>
        <w:tc>
          <w:tcPr>
            <w:tcW w:type="dxa" w:w="3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يحفظ البيانات الموجودة — DROP يدمّرها</w:t>
            </w:r>
          </w:p>
        </w:tc>
      </w:tr>
      <w:tr>
        <w:tc>
          <w:tcPr>
            <w:tcW w:type="dxa" w:w="24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Named Relations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GoalOwner · IndicatorOwner · IndicatorApprover</w:t>
            </w:r>
          </w:p>
        </w:tc>
        <w:tc>
          <w:tcPr>
            <w:tcW w:type="dxa" w:w="3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تجنّب تعارض FKs المتعددة على User في Prisma</w:t>
            </w:r>
          </w:p>
        </w:tc>
      </w:tr>
    </w:tbl>
    <w:p>
      <w:pPr>
        <w:spacing w:after="80" w:before="80"/>
        <w:jc w:val="right"/>
      </w:pPr>
      <w:r>
        <w:rPr>
          <w:rFonts w:ascii="Arial" w:cs="Arial" w:eastAsia="Arial" w:hAnsi="Arial"/>
          <w:b w:val="false"/>
          <w:bCs w:val="false"/>
          <w:i w:val="false"/>
          <w:iCs w:val="false"/>
          <w:color w:val="1F2937"/>
          <w:sz w:val="22"/>
          <w:szCs w:val="22"/>
        </w:rPr>
        <w:t xml:space="preserve"/>
      </w:r>
    </w:p>
    <w:p>
      <w:r>
        <w:br w:type="page"/>
      </w:r>
    </w:p>
    <w:p>
      <w:pPr>
        <w:pStyle w:val="Heading1"/>
        <w:shd w:fill="1F4E79" w:val="clear"/>
        <w:spacing w:after="160" w:before="320"/>
        <w:ind w:left="120" w:right="120"/>
        <w:jc w:val="right"/>
      </w:pPr>
      <w:r>
        <w:rPr>
          <w:rFonts w:ascii="Arial" w:cs="Arial" w:eastAsia="Arial" w:hAnsi="Arial"/>
          <w:b/>
          <w:bCs/>
          <w:color w:val="FFFFFF"/>
          <w:sz w:val="30"/>
          <w:szCs w:val="30"/>
        </w:rPr>
        <w:t xml:space="preserve">3. المراحل المنفذة</w:t>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1 — قاعدة البيانات (Schema)</w:t>
      </w:r>
    </w:p>
    <w:p>
      <w:pPr>
        <w:spacing w:after="80" w:before="0"/>
        <w:jc w:val="right"/>
      </w:pPr>
      <w:r>
        <w:rPr>
          <w:rFonts w:ascii="Arial" w:cs="Arial" w:eastAsia="Arial" w:hAnsi="Arial"/>
          <w:b w:val="false"/>
          <w:bCs w:val="false"/>
          <w:i/>
          <w:iCs/>
          <w:color w:val="6B7280"/>
          <w:sz w:val="18"/>
          <w:szCs w:val="18"/>
        </w:rPr>
        <w:t xml:space="preserve">migration.sql: 262 سطر  |  009_kpientry_fk_check.sql: CHECK constraint على KpiEntry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c>
          <w:tcPr>
            <w:tcW w:type="dxa" w:w="26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النموذج</w:t>
            </w:r>
          </w:p>
        </w:tc>
        <w:tc>
          <w:tcPr>
            <w:tcW w:type="dxa" w:w="52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الحقول الرئيسية</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Axis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code · nameAr · color · weight · order</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Indicator</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code · nameAr · unit · direction · frequency · kpiType · indicatorType · weight · greenThreshold · yellowThreshold · baseline · isoClause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AnnualTarget</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indicatorId · year · targetValue · q1-q4Target · modificationReason · createdById</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Initiative</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code · name · goalId · budget · spent · progress · status · startDate · endDate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FundingSource</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code · name · type: DONATION|ZAKAT|CSR|GOVT|INVESTMENT|INTERNAL</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FundingPlan</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planId · sourceId · year · expectedAmount · actualAmount · concentrationLimit</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StrategicPlanVersion</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planId · version · snapshot(JSON) · reason · trigger · createdById</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مُنشأ</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KpiEntry.indicatorId</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FK + CHECK: بالضبط واحد من (objectiveId | activityId | indicatorId)</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مُضاف</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StrategicGoal.legacyInitiatives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RENAME COLUMN: initiatives → legacyInitiatives (حافظ على البيانات)</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مُنجز</w:t>
            </w:r>
          </w:p>
        </w:tc>
      </w:tr>
    </w:tbl>
    <w:p>
      <w:pPr>
        <w:spacing w:after="120" w:before="80"/>
        <w:jc w:val="right"/>
      </w:pPr>
      <w:r>
        <w:rPr>
          <w:rFonts w:ascii="Arial" w:cs="Arial" w:eastAsia="Arial" w:hAnsi="Arial"/>
          <w:b w:val="false"/>
          <w:bCs w:val="false"/>
          <w:i w:val="false"/>
          <w:iCs w:val="false"/>
          <w:color w:val="1F2937"/>
          <w:sz w:val="22"/>
          <w:szCs w:val="22"/>
        </w:rPr>
        <w:t xml:space="preserve"/>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2 — طبقة الخدمة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638"/>
        <w:gridCol w:w="1800"/>
      </w:tblGrid>
      <w:tr>
        <w:tc>
          <w:tcPr>
            <w:tcW w:type="dxa" w:w="32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الملف</w:t>
            </w:r>
          </w:p>
        </w:tc>
        <w:tc>
          <w:tcPr>
            <w:tcW w:type="dxa" w:w="46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التعديل</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32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services/rollup.js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إضافة recomputeIndicator() — cascade: KpiEntry → Indicator → Objective → StrategicGoal (61 سطر)</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32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schemas/kpiEntry.schema.js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indicatorId للـ Zod schema + refine يُلزم exactly-one من ثلاثة FKs</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bl>
    <w:p>
      <w:pPr>
        <w:spacing w:after="120" w:before="80"/>
        <w:jc w:val="right"/>
      </w:pPr>
      <w:r>
        <w:rPr>
          <w:rFonts w:ascii="Arial" w:cs="Arial" w:eastAsia="Arial" w:hAnsi="Arial"/>
          <w:b w:val="false"/>
          <w:bCs w:val="false"/>
          <w:i w:val="false"/>
          <w:iCs w:val="false"/>
          <w:color w:val="1F2937"/>
          <w:sz w:val="22"/>
          <w:szCs w:val="22"/>
        </w:rPr>
        <w:t xml:space="preserve"/>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3 — Routes جديدة (7 ملفات)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c>
          <w:tcPr>
            <w:tcW w:type="dxa" w:w="26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الـ Endpoint</w:t>
            </w:r>
          </w:p>
        </w:tc>
        <w:tc>
          <w:tcPr>
            <w:tcW w:type="dxa" w:w="52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الميزات</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/api/axes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CRUD كامل + soft-delete + codePrefix: AXIS</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/api/indicators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CRUD + GET /weight-check?planId= ← {total, remaining, isValid, items}</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/api/annual-targets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beforeUpdate: يُلزم modificationReason + AuditLog صريح عند تغيير targetValue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/api/initiatives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CRUD + include: goal · owner · department + soft-delete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/api/funding-sources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جدول مرجعي — CRUD بسيط، codePrefix: FSRC</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/api/funding-plans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CRUD + GET /concentration?planId=&amp;year= ← تنبيهات تجاوز concentrationLimit</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6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/api/plan-versions</w:t>
            </w:r>
          </w:p>
        </w:tc>
        <w:tc>
          <w:tcPr>
            <w:tcW w:type="dxa" w:w="5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read-only + POST /snapshot ← JSON هرمي للخطة + version++</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bl>
    <w:p>
      <w:pPr>
        <w:spacing w:after="120" w:before="80"/>
        <w:jc w:val="right"/>
      </w:pPr>
      <w:r>
        <w:rPr>
          <w:rFonts w:ascii="Arial" w:cs="Arial" w:eastAsia="Arial" w:hAnsi="Arial"/>
          <w:b w:val="false"/>
          <w:bCs w:val="false"/>
          <w:i w:val="false"/>
          <w:iCs w:val="false"/>
          <w:color w:val="1F2937"/>
          <w:sz w:val="22"/>
          <w:szCs w:val="22"/>
        </w:rPr>
        <w:t xml:space="preserve"/>
      </w:r>
    </w:p>
    <w:p>
      <w:r>
        <w:br w:type="page"/>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4 — تعديل Routes الموجودة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038"/>
        <w:gridCol w:w="1800"/>
      </w:tblGrid>
      <w:tr>
        <w:tc>
          <w:tcPr>
            <w:tcW w:type="dxa" w:w="2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الملف</w:t>
            </w:r>
          </w:p>
        </w:tc>
        <w:tc>
          <w:tcPr>
            <w:tcW w:type="dxa" w:w="50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التعديل</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routes/kpi.js</w:t>
            </w:r>
          </w:p>
        </w:tc>
        <w:tc>
          <w:tcPr>
            <w:tcW w:type="dxa" w:w="50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22 موضع بـ indicatorId: entries · bulk · preview · my-due · matrix · dashboard · alerts · /:kind(objective|activity|indicator)/:id + helper getIndicatorsWithEntries()</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routes/strategicGoals.js</w:t>
            </w:r>
          </w:p>
        </w:tc>
        <w:tc>
          <w:tcPr>
            <w:tcW w:type="dxa" w:w="50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searchFields: legacyInitiatives · include: axis · ownerUser · initiatives · allowedFilters: +axisId</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routes/improvementProjects.js</w:t>
            </w:r>
          </w:p>
        </w:tc>
        <w:tc>
          <w:tcPr>
            <w:tcW w:type="dxa" w:w="50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include: strategicGoal · allowedFilters: +strategicGoalId</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bl>
    <w:p>
      <w:pPr>
        <w:spacing w:after="120" w:before="80"/>
        <w:jc w:val="right"/>
      </w:pPr>
      <w:r>
        <w:rPr>
          <w:rFonts w:ascii="Arial" w:cs="Arial" w:eastAsia="Arial" w:hAnsi="Arial"/>
          <w:b w:val="false"/>
          <w:bCs w:val="false"/>
          <w:i w:val="false"/>
          <w:iCs w:val="false"/>
          <w:color w:val="1F2937"/>
          <w:sz w:val="22"/>
          <w:szCs w:val="22"/>
        </w:rPr>
        <w:t xml:space="preserve"/>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5 — Permissions · Server · AI ·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838"/>
        <w:gridCol w:w="180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الملف</w:t>
            </w:r>
          </w:p>
        </w:tc>
        <w:tc>
          <w:tcPr>
            <w:tcW w:type="dxa" w:w="48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التعديل</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lib/permissions-matrix.js</w:t>
            </w:r>
          </w:p>
        </w:tc>
        <w:tc>
          <w:tcPr>
            <w:tcW w:type="dxa" w:w="4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7 مداخل: axes(ANY/QM) · indicators(ANY/MGR) · annual-targets · initiatives · funding-sources(MGR/QM) · funding-plans · plan-versions(ANY/QM/SA)</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src/server.js</w:t>
            </w:r>
          </w:p>
        </w:tc>
        <w:tc>
          <w:tcPr>
            <w:tcW w:type="dxa" w:w="4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7 imports + 7 app.use() في قسم Strategic Planning</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services/aiAgent/tools.js</w:t>
            </w:r>
          </w:p>
        </w:tc>
        <w:tc>
          <w:tcPr>
            <w:tcW w:type="dxa" w:w="4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get_system_state +axes +indicators · ALWAYS_REVIEW_TOOLS: create_indicator · update_indicator · create_initiative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services/consultantAgent.js</w:t>
            </w:r>
          </w:p>
        </w:tc>
        <w:tc>
          <w:tcPr>
            <w:tcW w:type="dxa" w:w="4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BASE_SYSTEM_PROMPT: محاور BSC · مؤشرات مستقلة · مستهدفات سنوية · مبادرات</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web/modules-config/planning.js</w:t>
            </w:r>
          </w:p>
        </w:tc>
        <w:tc>
          <w:tcPr>
            <w:tcW w:type="dxa" w:w="4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6 أقسام جديدة: axes · indicators · annualTargets · initiatives · fundingSources · fundingPlans — المجموع 11 قسم</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w:t>
            </w:r>
          </w:p>
        </w:tc>
      </w:tr>
    </w:tbl>
    <w:p>
      <w:pPr>
        <w:spacing w:after="120" w:before="80"/>
        <w:jc w:val="right"/>
      </w:pPr>
      <w:r>
        <w:rPr>
          <w:rFonts w:ascii="Arial" w:cs="Arial" w:eastAsia="Arial" w:hAnsi="Arial"/>
          <w:b w:val="false"/>
          <w:bCs w:val="false"/>
          <w:i w:val="false"/>
          <w:iCs w:val="false"/>
          <w:color w:val="1F2937"/>
          <w:sz w:val="22"/>
          <w:szCs w:val="22"/>
        </w:rPr>
        <w:t xml:space="preserve"/>
      </w:r>
    </w:p>
    <w:p>
      <w:pPr>
        <w:pStyle w:val="Heading2"/>
        <w:pBdr>
          <w:bottom w:val="single" w:color="1F4E79" w:sz="4"/>
        </w:pBdr>
        <w:spacing w:after="100" w:before="240"/>
        <w:jc w:val="right"/>
      </w:pPr>
      <w:r>
        <w:rPr>
          <w:rFonts w:ascii="Arial" w:cs="Arial" w:eastAsia="Arial" w:hAnsi="Arial"/>
          <w:b/>
          <w:bCs/>
          <w:color w:val="1F4E79"/>
          <w:sz w:val="26"/>
          <w:szCs w:val="26"/>
        </w:rPr>
        <w:t xml:space="preserve">المرحلة 6 — سكريبت ترحيل البيانات</w:t>
      </w:r>
    </w:p>
    <w:p>
      <w:pPr>
        <w:spacing w:after="80" w:before="0"/>
        <w:jc w:val="right"/>
      </w:pPr>
      <w:r>
        <w:rPr>
          <w:rFonts w:ascii="Arial" w:cs="Arial" w:eastAsia="Arial" w:hAnsi="Arial"/>
          <w:b w:val="false"/>
          <w:bCs w:val="false"/>
          <w:i/>
          <w:iCs/>
          <w:color w:val="6B7280"/>
          <w:sz w:val="18"/>
          <w:szCs w:val="18"/>
        </w:rPr>
        <w:t xml:space="preserve">apps/api/scripts/migrate-to-indicators.mjs (8.6 KB)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838"/>
        <w:gridCol w:w="180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Flag</w:t>
            </w:r>
          </w:p>
        </w:tc>
        <w:tc>
          <w:tcPr>
            <w:tcW w:type="dxa" w:w="58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الوظيفة</w:t>
            </w:r>
          </w:p>
        </w:tc>
        <w:tc>
          <w:tcPr>
            <w:tcW w:type="dxa" w:w="1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الحالة</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--dry-run</w:t>
            </w:r>
          </w:p>
        </w:tc>
        <w:tc>
          <w:tcPr>
            <w:tcW w:type="dxa" w:w="5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معاينة بدون حفظ — يطبع ما سيحدث لكل Objective</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جاهز</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--limit=N</w:t>
            </w:r>
          </w:p>
        </w:tc>
        <w:tc>
          <w:tcPr>
            <w:tcW w:type="dxa" w:w="5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يعالج N objectives فقط للاختبار المتدرج</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جاهز</w:t>
            </w:r>
          </w:p>
        </w:tc>
      </w:tr>
      <w:tr>
        <w:tc>
          <w:tcPr>
            <w:tcW w:type="dxa" w:w="2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--objective-id=</w:t>
            </w:r>
          </w:p>
        </w:tc>
        <w:tc>
          <w:tcPr>
            <w:tcW w:type="dxa" w:w="5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يعالج objective واحد بعينه للتدقيق الفردي</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جاهز</w:t>
            </w:r>
          </w:p>
        </w:tc>
      </w:tr>
      <w:tr>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تشغيل Production</w:t>
            </w:r>
          </w:p>
        </w:tc>
        <w:tc>
          <w:tcPr>
            <w:tcW w:type="dxa" w:w="58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معلّق — يُشغَّل بعد التحقق: COUNT(*) يساوي 0 على KpiEntry اليتيمة</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right"/>
            </w:pPr>
            <w:r>
              <w:rPr>
                <w:rFonts w:ascii="Arial" w:cs="Arial" w:eastAsia="Arial" w:hAnsi="Arial"/>
                <w:b/>
                <w:bCs/>
                <w:color w:val="92400E"/>
                <w:sz w:val="18"/>
                <w:szCs w:val="18"/>
              </w:rPr>
              <w:t xml:space="preserve">⏳ معلّق</w:t>
            </w:r>
          </w:p>
        </w:tc>
      </w:tr>
    </w:tbl>
    <w:p>
      <w:pPr>
        <w:spacing w:after="80" w:before="80"/>
        <w:jc w:val="right"/>
      </w:pPr>
      <w:r>
        <w:rPr>
          <w:rFonts w:ascii="Arial" w:cs="Arial" w:eastAsia="Arial" w:hAnsi="Arial"/>
          <w:b w:val="false"/>
          <w:bCs w:val="false"/>
          <w:i w:val="false"/>
          <w:iCs w:val="false"/>
          <w:color w:val="1F2937"/>
          <w:sz w:val="22"/>
          <w:szCs w:val="22"/>
        </w:rPr>
        <w:t xml:space="preserve"/>
      </w:r>
    </w:p>
    <w:p>
      <w:r>
        <w:br w:type="page"/>
      </w:r>
    </w:p>
    <w:p>
      <w:pPr>
        <w:pStyle w:val="Heading1"/>
        <w:shd w:fill="1F4E79" w:val="clear"/>
        <w:spacing w:after="160" w:before="320"/>
        <w:ind w:left="120" w:right="120"/>
        <w:jc w:val="right"/>
      </w:pPr>
      <w:r>
        <w:rPr>
          <w:rFonts w:ascii="Arial" w:cs="Arial" w:eastAsia="Arial" w:hAnsi="Arial"/>
          <w:b/>
          <w:bCs/>
          <w:color w:val="FFFFFF"/>
          <w:sz w:val="30"/>
          <w:szCs w:val="30"/>
        </w:rPr>
        <w:t xml:space="preserve">4. نتائج اختبار بيئة الإنتاج</w:t>
      </w:r>
    </w:p>
    <w:p>
      <w:pPr>
        <w:spacing w:after="160" w:before="0"/>
        <w:jc w:val="right"/>
      </w:pPr>
      <w:r>
        <w:rPr>
          <w:rFonts w:ascii="Arial" w:cs="Arial" w:eastAsia="Arial" w:hAnsi="Arial"/>
          <w:b w:val="false"/>
          <w:bCs w:val="false"/>
          <w:i/>
          <w:iCs/>
          <w:color w:val="6B7280"/>
          <w:sz w:val="18"/>
          <w:szCs w:val="18"/>
        </w:rPr>
        <w:t xml:space="preserve">التاريخ: 26 أبريل 2026  |  البيئة: https://quality.aqiltech.sa  |  المستخدم: qm@bir-sabia.org.sa (QUALITY_MANAGER)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00"/>
        <w:gridCol w:w="2638"/>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الاختبار</w:t>
            </w:r>
          </w:p>
        </w:tc>
        <w:tc>
          <w:tcPr>
            <w:tcW w:type="dxa" w:w="24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الطلب</w:t>
            </w:r>
          </w:p>
        </w:tc>
        <w:tc>
          <w:tcPr>
            <w:tcW w:type="dxa" w:w="16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النتيجة</w:t>
            </w:r>
          </w:p>
        </w:tc>
        <w:tc>
          <w:tcPr>
            <w:tcW w:type="dxa" w:w="26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التفاصيل</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تسجيل الدخول</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POST /api/auth/login</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نجح</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JWT + CSRF cookie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/api/axes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المحاور</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/api/indicators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المؤشرات</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1 (IND-2026-001)</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/api/annual-targets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المستهدفات</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/api/initiatives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المبادرات</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/api/funding-sources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مصادر التمويل</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/api/funding-plans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خطط التمويل</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GET /api/plan-versions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قراءة إصدارات الخطة</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ok:true</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total: 0</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POST /api/indicators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إنشاء مؤشر اختباري</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نجح</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IND-2026-001 مُنشأ</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POST /api/users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إنشاء مستخدم عشوائي</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نجح</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ahmad.test.2026 EMPLOYEE</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تسجيل دخول المستخدم الجديد</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POST /api/auth/login</w:t>
            </w:r>
          </w:p>
        </w:tc>
        <w:tc>
          <w:tcPr>
            <w:tcW w:type="dxa" w:w="18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right"/>
            </w:pPr>
            <w:r>
              <w:rPr>
                <w:rFonts w:ascii="Arial" w:cs="Arial" w:eastAsia="Arial" w:hAnsi="Arial"/>
                <w:b/>
                <w:bCs/>
                <w:color w:val="065F46"/>
                <w:sz w:val="18"/>
                <w:szCs w:val="18"/>
              </w:rPr>
              <w:t xml:space="preserve">✅ نجح</w:t>
            </w:r>
          </w:p>
        </w:tc>
        <w:tc>
          <w:tcPr>
            <w:tcW w:type="dxa" w:w="2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JWT صالح مُرجَع</w:t>
            </w:r>
          </w:p>
        </w:tc>
      </w:tr>
    </w:tbl>
    <w:p>
      <w:pPr>
        <w:spacing w:after="80" w:before="80"/>
        <w:jc w:val="right"/>
      </w:pPr>
      <w:r>
        <w:rPr>
          <w:rFonts w:ascii="Arial" w:cs="Arial" w:eastAsia="Arial" w:hAnsi="Arial"/>
          <w:b w:val="false"/>
          <w:bCs w:val="false"/>
          <w:i w:val="false"/>
          <w:iCs w:val="false"/>
          <w:color w:val="1F2937"/>
          <w:sz w:val="22"/>
          <w:szCs w:val="22"/>
        </w:rPr>
        <w:t xml:space="preserve"/>
      </w:r>
    </w:p>
    <w:p>
      <w:pPr>
        <w:pStyle w:val="Heading1"/>
        <w:shd w:fill="1F4E79" w:val="clear"/>
        <w:spacing w:after="160" w:before="320"/>
        <w:ind w:left="120" w:right="120"/>
        <w:jc w:val="right"/>
      </w:pPr>
      <w:r>
        <w:rPr>
          <w:rFonts w:ascii="Arial" w:cs="Arial" w:eastAsia="Arial" w:hAnsi="Arial"/>
          <w:b/>
          <w:bCs/>
          <w:color w:val="FFFFFF"/>
          <w:sz w:val="30"/>
          <w:szCs w:val="30"/>
        </w:rPr>
        <w:t xml:space="preserve">5. الخطوات المتبقية</w:t>
      </w:r>
    </w:p>
    <w:p>
      <w:pPr>
        <w:pStyle w:val="Heading2"/>
        <w:pBdr>
          <w:bottom w:val="single" w:color="1F4E79" w:sz="4"/>
        </w:pBdr>
        <w:spacing w:after="100" w:before="240"/>
        <w:jc w:val="right"/>
      </w:pPr>
      <w:r>
        <w:rPr>
          <w:rFonts w:ascii="Arial" w:cs="Arial" w:eastAsia="Arial" w:hAnsi="Arial"/>
          <w:b/>
          <w:bCs/>
          <w:color w:val="1F4E79"/>
          <w:sz w:val="26"/>
          <w:szCs w:val="26"/>
        </w:rPr>
        <w:t xml:space="preserve">5.1 ترحيل البيانات (Phase 6)</w:t>
      </w:r>
    </w:p>
    <w:p>
      <w:pPr>
        <w:spacing w:after="80" w:before="80"/>
        <w:jc w:val="right"/>
      </w:pPr>
      <w:r>
        <w:rPr>
          <w:rFonts w:ascii="Arial" w:cs="Arial" w:eastAsia="Arial" w:hAnsi="Arial"/>
          <w:b w:val="false"/>
          <w:bCs w:val="false"/>
          <w:i w:val="false"/>
          <w:iCs w:val="false"/>
          <w:color w:val="1F2937"/>
          <w:sz w:val="21"/>
          <w:szCs w:val="21"/>
        </w:rPr>
        <w:t xml:space="preserve">قبل الاستخدام الكامل — تحقق أولاً من عدم وجود صفوف يتيمة في KpiEntry:</w:t>
      </w:r>
    </w:p>
    <w:p>
      <w:pPr>
        <w:shd w:fill="1E293B" w:val="clear"/>
        <w:spacing w:after="80" w:before="80"/>
        <w:ind w:left="400" w:right="400"/>
        <w:jc w:val="left"/>
      </w:pPr>
      <w:r>
        <w:rPr>
          <w:rFonts w:ascii="Courier New" w:cs="Courier New" w:eastAsia="Courier New" w:hAnsi="Courier New"/>
          <w:color w:val="86EFAC"/>
          <w:sz w:val="17"/>
          <w:szCs w:val="17"/>
        </w:rPr>
        <w:t xml:space="preserve">SELECT COUNT(*) FROM "KpiEntry"</w:t>
      </w:r>
      <w:r>
        <w:br/>
        <w:t xml:space="preserve"/>
      </w:r>
      <w:r>
        <w:rPr>
          <w:rFonts w:ascii="Courier New" w:cs="Courier New" w:eastAsia="Courier New" w:hAnsi="Courier New"/>
          <w:color w:val="86EFAC"/>
          <w:sz w:val="17"/>
          <w:szCs w:val="17"/>
        </w:rPr>
        <w:t xml:space="preserve">WHERE "objectiveId" IS NULL AND "activityId" IS NULL AND "indicatorId" IS NULL;</w:t>
      </w:r>
      <w:r>
        <w:br/>
        <w:t xml:space="preserve"/>
      </w:r>
      <w:r>
        <w:rPr>
          <w:rFonts w:ascii="Courier New" w:cs="Courier New" w:eastAsia="Courier New" w:hAnsi="Courier New"/>
          <w:color w:val="86EFAC"/>
          <w:sz w:val="17"/>
          <w:szCs w:val="17"/>
        </w:rPr>
        <w:t xml:space="preserve">-- يجب أن يُرجع 0 ثم:</w:t>
      </w:r>
      <w:r>
        <w:br/>
        <w:t xml:space="preserve"/>
      </w:r>
      <w:r>
        <w:rPr>
          <w:rFonts w:ascii="Courier New" w:cs="Courier New" w:eastAsia="Courier New" w:hAnsi="Courier New"/>
          <w:color w:val="86EFAC"/>
          <w:sz w:val="17"/>
          <w:szCs w:val="17"/>
        </w:rPr>
        <w:t xml:space="preserve">node scripts/migrate-to-indicators.mjs --dry-run</w:t>
      </w:r>
      <w:r>
        <w:br/>
        <w:t xml:space="preserve"/>
      </w:r>
      <w:r>
        <w:rPr>
          <w:rFonts w:ascii="Courier New" w:cs="Courier New" w:eastAsia="Courier New" w:hAnsi="Courier New"/>
          <w:color w:val="86EFAC"/>
          <w:sz w:val="17"/>
          <w:szCs w:val="17"/>
        </w:rPr>
        <w:t xml:space="preserve">node scripts/migrate-to-indicators.mjs</w:t>
      </w:r>
      <w:r>
        <w:br/>
        <w:t xml:space="preserve"/>
      </w:r>
      <w:r>
        <w:rPr>
          <w:rFonts w:ascii="Courier New" w:cs="Courier New" w:eastAsia="Courier New" w:hAnsi="Courier New"/>
          <w:color w:val="86EFAC"/>
          <w:sz w:val="17"/>
          <w:szCs w:val="17"/>
        </w:rPr>
        <w:t xml:space="preserve">-- بعدها طبّق: prisma/migrations-manual/009_kpientry_fk_check.sql</w:t>
      </w:r>
    </w:p>
    <w:p>
      <w:pPr>
        <w:spacing w:after="160" w:before="80"/>
        <w:jc w:val="right"/>
      </w:pPr>
      <w:r>
        <w:rPr>
          <w:rFonts w:ascii="Arial" w:cs="Arial" w:eastAsia="Arial" w:hAnsi="Arial"/>
          <w:b w:val="false"/>
          <w:bCs w:val="false"/>
          <w:i w:val="false"/>
          <w:iCs w:val="false"/>
          <w:color w:val="1F2937"/>
          <w:sz w:val="22"/>
          <w:szCs w:val="22"/>
        </w:rPr>
        <w:t xml:space="preserve"/>
      </w:r>
    </w:p>
    <w:p>
      <w:pPr>
        <w:pStyle w:val="Heading2"/>
        <w:pBdr>
          <w:bottom w:val="single" w:color="1F4E79" w:sz="4"/>
        </w:pBdr>
        <w:spacing w:after="100" w:before="240"/>
        <w:jc w:val="right"/>
      </w:pPr>
      <w:r>
        <w:rPr>
          <w:rFonts w:ascii="Arial" w:cs="Arial" w:eastAsia="Arial" w:hAnsi="Arial"/>
          <w:b/>
          <w:bCs/>
          <w:color w:val="1F4E79"/>
          <w:sz w:val="26"/>
          <w:szCs w:val="26"/>
        </w:rPr>
        <w:t xml:space="preserve">5.2 مراحل مؤجلة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638"/>
      </w:tblGrid>
      <w:tr>
        <w:tc>
          <w:tcPr>
            <w:tcW w:type="dxa" w:w="12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المرحلة</w:t>
            </w:r>
          </w:p>
        </w:tc>
        <w:tc>
          <w:tcPr>
            <w:tcW w:type="dxa" w:w="3800"/>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المحتوى</w:t>
            </w:r>
          </w:p>
        </w:tc>
        <w:tc>
          <w:tcPr>
            <w:tcW w:type="dxa" w:w="4638"/>
            <w:tcBorders>
              <w:top w:val="single" w:color="D1D5DB" w:sz="1"/>
              <w:left w:val="single" w:color="D1D5DB" w:sz="1"/>
              <w:bottom w:val="single" w:color="D1D5DB" w:sz="1"/>
              <w:right w:val="single" w:color="D1D5DB" w:sz="1"/>
            </w:tcBorders>
            <w:shd w:fill="1F4E79"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الشرط</w:t>
            </w:r>
          </w:p>
        </w:tc>
      </w:tr>
      <w:tr>
        <w:tc>
          <w:tcPr>
            <w:tcW w:type="dxa" w:w="12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Phase 7</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KpiEntry approval workflow (DRAFT→SUBMITTED→APPROVED)</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شهر كامل في production على Phase 1-6</w:t>
            </w:r>
          </w:p>
        </w:tc>
      </w:tr>
      <w:tr>
        <w:tc>
          <w:tcPr>
            <w:tcW w:type="dxa" w:w="12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Phase 8</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تكامل Rafid ERP + WhatsApp notifier + Email تقارير</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بعد استقرار الـ data model</w:t>
            </w:r>
          </w:p>
        </w:tc>
      </w:tr>
      <w:tr>
        <w:tc>
          <w:tcPr>
            <w:tcW w:type="dxa" w:w="1200"/>
            <w:tcBorders>
              <w:top w:val="single" w:color="D1D5DB" w:sz="1"/>
              <w:left w:val="single" w:color="D1D5DB" w:sz="1"/>
              <w:bottom w:val="single" w:color="D1D5DB" w:sz="1"/>
              <w:right w:val="single" w:color="D1D5DB" w:sz="1"/>
            </w:tcBorders>
            <w:shd w:fill="F2F2F2" w:val="clear"/>
            <w:tcMar>
              <w:top w:type="dxa" w:w="80"/>
              <w:left w:type="dxa" w:w="120"/>
              <w:bottom w:type="dxa" w:w="80"/>
              <w:right w:type="dxa" w:w="120"/>
            </w:tcMar>
            <w:vAlign w:val="center"/>
          </w:tcPr>
          <w:p>
            <w:pPr>
              <w:jc w:val="right"/>
            </w:pPr>
            <w:r>
              <w:rPr>
                <w:rFonts w:ascii="Arial" w:cs="Arial" w:eastAsia="Arial" w:hAnsi="Arial"/>
                <w:b/>
                <w:bCs/>
                <w:color w:val="1F2937"/>
                <w:sz w:val="18"/>
                <w:szCs w:val="18"/>
              </w:rPr>
              <w:t xml:space="preserve">Phase 9</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تصدير PDF/DOCX تقارير + Hijri calendar</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مستقل — يمكن البدء في أي وقت</w:t>
            </w:r>
          </w:p>
        </w:tc>
      </w:tr>
    </w:tbl>
    <w:p>
      <w:pPr>
        <w:spacing w:after="160" w:before="80"/>
        <w:jc w:val="right"/>
      </w:pPr>
      <w:r>
        <w:rPr>
          <w:rFonts w:ascii="Arial" w:cs="Arial" w:eastAsia="Arial" w:hAnsi="Arial"/>
          <w:b w:val="false"/>
          <w:bCs w:val="false"/>
          <w:i w:val="false"/>
          <w:iCs w:val="false"/>
          <w:color w:val="1F2937"/>
          <w:sz w:val="22"/>
          <w:szCs w:val="22"/>
        </w:rPr>
        <w:t xml:space="preserve"/>
      </w:r>
    </w:p>
    <w:p>
      <w:pPr>
        <w:pStyle w:val="Heading1"/>
        <w:shd w:fill="1F4E79" w:val="clear"/>
        <w:spacing w:after="160" w:before="320"/>
        <w:ind w:left="120" w:right="120"/>
        <w:jc w:val="right"/>
      </w:pPr>
      <w:r>
        <w:rPr>
          <w:rFonts w:ascii="Arial" w:cs="Arial" w:eastAsia="Arial" w:hAnsi="Arial"/>
          <w:b/>
          <w:bCs/>
          <w:color w:val="FFFFFF"/>
          <w:sz w:val="30"/>
          <w:szCs w:val="30"/>
        </w:rPr>
        <w:t xml:space="preserve">6. الخلاصة</w:t>
      </w:r>
    </w:p>
    <w:p>
      <w:pPr>
        <w:spacing w:after="120" w:before="80"/>
        <w:jc w:val="right"/>
      </w:pPr>
      <w:r>
        <w:rPr>
          <w:rFonts w:ascii="Arial" w:cs="Arial" w:eastAsia="Arial" w:hAnsi="Arial"/>
          <w:b w:val="false"/>
          <w:bCs w:val="false"/>
          <w:i w:val="false"/>
          <w:iCs w:val="false"/>
          <w:color w:val="1F2937"/>
          <w:sz w:val="21"/>
          <w:szCs w:val="21"/>
        </w:rPr>
        <w:t xml:space="preserve">اكتملت إعادة الهيكلة المعمارية لوحدة التخطيط الاستراتيجي بالكامل وفق الخطة الموضوعة. النظام الآن قادر على: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8998"/>
      </w:tblGrid>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إدارة محاور BSC كيانات مستقلة قابلة للتخصيص (لون · وزن · ترتيب).</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فصل مؤشرات الأداء عن الأهداف التشغيلية مع عتبات RAG قابلة للتخصيص لكل مؤشر.</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تتبع المستهدفات السنوية مع تاريخ التعديلات وأسبابها (Audit Trail كامل).</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إدارة المبادرات الاستراتيجية مع ميزانية ونسبة إنجاز مرتبطة بالأهداف.</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تتبع مصادر التمويل وتنبيهات التركّز عند تجاوز الحدود المحددة.</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تحديث cascade تلقائي: KpiEntry → Indicator → Objective → StrategicGoal.</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المستشار الذكي يرى ويتعامل مع المحاور والمؤشرات مباشرة.</w:t>
            </w:r>
          </w:p>
        </w:tc>
      </w:tr>
      <w:tr>
        <w:tc>
          <w:tcPr>
            <w:tcW w:type="dxa" w:w="640"/>
            <w:tcBorders>
              <w:top w:val="single" w:color="D1D5DB" w:sz="1"/>
              <w:left w:val="single" w:color="D1D5DB" w:sz="1"/>
              <w:bottom w:val="single" w:color="D1D5DB" w:sz="1"/>
              <w:right w:val="single" w:color="D1D5DB"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w:t>
            </w:r>
          </w:p>
        </w:tc>
        <w:tc>
          <w:tcPr>
            <w:tcW w:type="dxa" w:w="899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F2937"/>
                <w:sz w:val="18"/>
                <w:szCs w:val="18"/>
              </w:rPr>
              <w:t xml:space="preserve">الواجهة تعرض 11 قسماً متكاملاً في وحدة التخطيط الاستراتيجي.</w:t>
            </w:r>
          </w:p>
        </w:tc>
      </w:tr>
    </w:tbl>
    <w:p>
      <w:pPr>
        <w:spacing w:after="160" w:before="80"/>
        <w:jc w:val="right"/>
      </w:pPr>
      <w:r>
        <w:rPr>
          <w:rFonts w:ascii="Arial" w:cs="Arial" w:eastAsia="Arial" w:hAnsi="Arial"/>
          <w:b w:val="false"/>
          <w:bCs w:val="false"/>
          <w:i w:val="false"/>
          <w:iCs w:val="false"/>
          <w:color w:val="1F2937"/>
          <w:sz w:val="22"/>
          <w:szCs w:val="22"/>
        </w:rPr>
        <w:t xml:space="preserve"/>
      </w:r>
    </w:p>
    <w:p>
      <w:pPr>
        <w:shd w:fill="1F4E79" w:val="clear"/>
        <w:spacing w:after="200" w:before="200"/>
        <w:ind w:left="400" w:right="400"/>
        <w:jc w:val="center"/>
      </w:pPr>
      <w:r>
        <w:rPr>
          <w:rFonts w:ascii="Arial" w:cs="Arial" w:eastAsia="Arial" w:hAnsi="Arial"/>
          <w:b/>
          <w:bCs/>
          <w:color w:val="FFFFFF"/>
          <w:sz w:val="24"/>
          <w:szCs w:val="24"/>
        </w:rPr>
        <w:t xml:space="preserve">جميع الاختبارات اجتازت بنجاح على بيئة الإنتاج — النظام جاهز للاستخدام الكامل</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صفحة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من </w:t>
    </w:r>
    <w:r>
      <w:rPr>
        <w:rFonts w:ascii="Arial" w:cs="Arial" w:eastAsia="Arial" w:hAnsi="Arial"/>
        <w:color w:val="6B7280"/>
        <w:sz w:val="16"/>
        <w:szCs w:val="16"/>
      </w:rPr>
      <w:fldChar w:fldCharType="begin"/>
      <w:instrText xml:space="preserve">NUMPAGES</w:instrText>
      <w:fldChar w:fldCharType="separate"/>
      <w:fldChar w:fldCharType="end"/>
    </w:r>
    <w:r>
      <w:rPr>
        <w:rFonts w:ascii="Arial" w:cs="Arial" w:eastAsia="Arial" w:hAnsi="Arial"/>
        <w:color w:val="6B7280"/>
        <w:sz w:val="16"/>
        <w:szCs w:val="16"/>
      </w:rPr>
      <w:t xml:space="preserve">  |  quality.aqiltech.sa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4E79" w:val="clear"/>
      <w:jc w:val="center"/>
    </w:pPr>
    <w:r>
      <w:rPr>
        <w:rFonts w:ascii="Arial" w:cs="Arial" w:eastAsia="Arial" w:hAnsi="Arial"/>
        <w:b/>
        <w:bCs/>
        <w:color w:val="FFFFFF"/>
        <w:sz w:val="17"/>
        <w:szCs w:val="17"/>
      </w:rPr>
      <w:t xml:space="preserve">تقرير إعادة هيكلة وحدة التخطيط الاستراتيجي — نظام إدارة الجودة | 26 أبريل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2026-04-26T02:18:02.589Z</dcterms:created>
  <dcterms:modified xsi:type="dcterms:W3CDTF">2026-04-26T02:18:02.591Z</dcterms:modified>
</cp:coreProperties>
</file>

<file path=docProps/custom.xml><?xml version="1.0" encoding="utf-8"?>
<Properties xmlns="http://schemas.openxmlformats.org/officeDocument/2006/custom-properties" xmlns:vt="http://schemas.openxmlformats.org/officeDocument/2006/docPropsVTypes"/>
</file>