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0E5C63"/>
          <w:spacing w:val="60"/>
          <w:sz w:val="20"/>
          <w:szCs w:val="20"/>
        </w:rPr>
        <w:t xml:space="preserve">WORKSHEET 4</w:t>
      </w:r>
    </w:p>
    <w:p>
      <w:pPr>
        <w:pStyle w:val="Heading1"/>
      </w:pPr>
      <w:r>
        <w:t xml:space="preserve">Absorption assessment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B6770"/>
          <w:sz w:val="22"/>
          <w:szCs w:val="22"/>
        </w:rPr>
        <w:t xml:space="preserve">Practice output for Chapter 4, Absorption- and administration-related interactions.</w:t>
      </w:r>
    </w:p>
    <w:p>
      <w:pPr>
        <w:spacing w:after="200"/>
      </w:pPr>
      <w:r>
        <w:t xml:space="preserve">Use this worksheet for any case in which an absorption or administration interaction is suspected. Record the actual administration times, not the prescribed schedule. Use </w:t>
      </w:r>
      <w:r>
        <w:rPr>
          <w:b/>
          <w:bCs/>
        </w:rPr>
        <w:t xml:space="preserve">Supports</w:t>
      </w:r>
      <w:r>
        <w:t xml:space="preserve">, </w:t>
      </w:r>
      <w:r>
        <w:rPr>
          <w:b/>
          <w:bCs/>
        </w:rPr>
        <w:t xml:space="preserve">Against</w:t>
      </w:r>
      <w:r>
        <w:t xml:space="preserve">, </w:t>
      </w:r>
      <w:r>
        <w:rPr>
          <w:b/>
          <w:bCs/>
        </w:rPr>
        <w:t xml:space="preserve">Neutral</w:t>
      </w:r>
      <w:r>
        <w:t xml:space="preserve">, or </w:t>
      </w:r>
      <w:r>
        <w:rPr>
          <w:b/>
          <w:bCs/>
        </w:rPr>
        <w:t xml:space="preserve">Unknown</w:t>
      </w:r>
      <w:r>
        <w:t xml:space="preserve"> in the </w:t>
      </w:r>
      <w:r>
        <w:rPr>
          <w:i/>
          <w:iCs/>
        </w:rPr>
        <w:t xml:space="preserve">Direction</w:t>
      </w:r>
      <w:r>
        <w:t xml:space="preserve"> column.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2"/>
        <w:gridCol w:w="4104"/>
        <w:gridCol w:w="3009"/>
        <w:gridCol w:w="1641"/>
        <w:gridCol w:w="2464"/>
      </w:tblGrid>
      <w:tr>
        <w:trPr>
          <w:cantSplit/>
          <w:tblHeader/>
        </w:trPr>
        <w:tc>
          <w:tcPr>
            <w:tcW w:type="dxa" w:w="246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0E5C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Item</w:t>
            </w:r>
          </w:p>
        </w:tc>
        <w:tc>
          <w:tcPr>
            <w:tcW w:type="dxa" w:w="4104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0E5C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Guiding questions</w:t>
            </w:r>
          </w:p>
        </w:tc>
        <w:tc>
          <w:tcPr>
            <w:tcW w:type="dxa" w:w="300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0E5C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Findings in this case</w:t>
            </w:r>
          </w:p>
        </w:tc>
        <w:tc>
          <w:tcPr>
            <w:tcW w:type="dxa" w:w="1641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0E5C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Direction</w:t>
            </w:r>
          </w:p>
        </w:tc>
        <w:tc>
          <w:tcPr>
            <w:tcW w:type="dxa" w:w="2464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0E5C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Information needed</w:t>
            </w: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46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Object drug</w:t>
            </w:r>
          </w:p>
        </w:tc>
        <w:tc>
          <w:tcPr>
            <w:tcW w:type="dxa" w:w="4104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Is its absorption vulnerable to chelation, pH, binding, motility, or formulation? Narrow exposure margin?</w:t>
            </w:r>
          </w:p>
        </w:tc>
        <w:tc>
          <w:tcPr>
            <w:tcW w:type="dxa" w:w="300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1641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464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46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Precipitant and mechanism</w:t>
            </w:r>
          </w:p>
        </w:tc>
        <w:tc>
          <w:tcPr>
            <w:tcW w:type="dxa" w:w="4104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Which product and which mechanism? Include OTC products, supplements, foods, and feeds</w:t>
            </w:r>
          </w:p>
        </w:tc>
        <w:tc>
          <w:tcPr>
            <w:tcW w:type="dxa" w:w="300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1641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464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46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Administration timing</w:t>
            </w:r>
          </w:p>
        </w:tc>
        <w:tc>
          <w:tcPr>
            <w:tcW w:type="dxa" w:w="4104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Actual clock times of each product; with food or fasting; interval between them</w:t>
            </w:r>
          </w:p>
        </w:tc>
        <w:tc>
          <w:tcPr>
            <w:tcW w:type="dxa" w:w="300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1641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464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46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Dose and amount</w:t>
            </w:r>
          </w:p>
        </w:tc>
        <w:tc>
          <w:tcPr>
            <w:tcW w:type="dxa" w:w="4104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Dose of each drug; amount of cation or acid suppression</w:t>
            </w:r>
          </w:p>
        </w:tc>
        <w:tc>
          <w:tcPr>
            <w:tcW w:type="dxa" w:w="300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1641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464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46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Route and formulation</w:t>
            </w:r>
          </w:p>
        </w:tc>
        <w:tc>
          <w:tcPr>
            <w:tcW w:type="dxa" w:w="4104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Tablet, liquid, crushed, tube; modified-release or enteric-coated</w:t>
            </w:r>
          </w:p>
        </w:tc>
        <w:tc>
          <w:tcPr>
            <w:tcW w:type="dxa" w:w="300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1641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464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46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Patient factors</w:t>
            </w:r>
          </w:p>
        </w:tc>
        <w:tc>
          <w:tcPr>
            <w:tcW w:type="dxa" w:w="4104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Transit time, gastric acidity, feeding, renal or hepatic function that offsets or amplifies</w:t>
            </w:r>
          </w:p>
        </w:tc>
        <w:tc>
          <w:tcPr>
            <w:tcW w:type="dxa" w:w="300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1641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464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46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Expected consequence</w:t>
            </w:r>
          </w:p>
        </w:tc>
        <w:tc>
          <w:tcPr>
            <w:tcW w:type="dxa" w:w="4104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Rate or extent; toxicity or failure; margin to an exposure target</w:t>
            </w:r>
          </w:p>
        </w:tc>
        <w:tc>
          <w:tcPr>
            <w:tcW w:type="dxa" w:w="300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1641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464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46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Evidence of altered exposure</w:t>
            </w:r>
          </w:p>
        </w:tc>
        <w:tc>
          <w:tcPr>
            <w:tcW w:type="dxa" w:w="4104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Drug concentrations, biomarkers, response to separation or switching</w:t>
            </w:r>
          </w:p>
        </w:tc>
        <w:tc>
          <w:tcPr>
            <w:tcW w:type="dxa" w:w="300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1641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464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46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Competing explanations</w:t>
            </w:r>
          </w:p>
        </w:tc>
        <w:tc>
          <w:tcPr>
            <w:tcW w:type="dxa" w:w="4104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Adherence, resistance, disease severity, source control, other drugs</w:t>
            </w:r>
          </w:p>
        </w:tc>
        <w:tc>
          <w:tcPr>
            <w:tcW w:type="dxa" w:w="300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1641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464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46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Actionability</w:t>
            </w:r>
          </w:p>
        </w:tc>
        <w:tc>
          <w:tcPr>
            <w:tcW w:type="dxa" w:w="4104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Was separation or an alternative feasible? Was advice given?</w:t>
            </w:r>
          </w:p>
        </w:tc>
        <w:tc>
          <w:tcPr>
            <w:tcW w:type="dxa" w:w="300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1641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464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46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Assessment statement</w:t>
            </w:r>
          </w:p>
        </w:tc>
        <w:tc>
          <w:tcPr>
            <w:tcW w:type="dxa" w:w="4104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Judgment, driving factors, key uncertainty, next action</w:t>
            </w:r>
          </w:p>
        </w:tc>
        <w:tc>
          <w:tcPr>
            <w:tcW w:type="dxa" w:w="300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1641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464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</w:tbl>
    <w:p>
      <w:pPr>
        <w:spacing w:after="200"/>
      </w:pPr>
    </w:p>
    <w:sectPr>
      <w:footerReference w:type="default" r:id="rId6"/>
      <w:pgSz w:w="15840" w:h="12240" w:orient="landscape"/>
      <w:pgMar w:top="1080" w:right="1080" w:bottom="1080" w:left="1080" w:header="500" w:footer="45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7C7C9" w:sz="4" w:space="6"/>
      </w:pBdr>
      <w:spacing w:after="40"/>
      <w:jc w:val="center"/>
    </w:pPr>
    <w:r>
      <w:rPr>
        <w:rFonts w:ascii="Calibri" w:cs="Calibri" w:eastAsia="Calibri" w:hAnsi="Calibri"/>
        <w:color w:val="5B6770"/>
        <w:sz w:val="16"/>
        <w:szCs w:val="16"/>
      </w:rPr>
      <w:t xml:space="preserve">Companion worksheet to </w:t>
    </w:r>
    <w:r>
      <w:rPr>
        <w:rFonts w:ascii="Calibri" w:cs="Calibri" w:eastAsia="Calibri" w:hAnsi="Calibri"/>
        <w:i/>
        <w:iCs/>
        <w:color w:val="5B6770"/>
        <w:sz w:val="16"/>
        <w:szCs w:val="16"/>
      </w:rPr>
      <w:t xml:space="preserve">Drug–Drug Interactions in Drug Safety and Pharmacovigilance</w:t>
    </w:r>
    <w:r>
      <w:rPr>
        <w:rFonts w:ascii="Calibri" w:cs="Calibri" w:eastAsia="Calibri" w:hAnsi="Calibri"/>
        <w:color w:val="5B6770"/>
        <w:sz w:val="16"/>
        <w:szCs w:val="16"/>
      </w:rPr>
      <w:t xml:space="preserve"> (H. Selim). Educational template; adapt to your organization's procedures.</w:t>
    </w:r>
  </w:p>
  <w:p>
    <w:pPr>
      <w:jc w:val="center"/>
    </w:pPr>
    <w:r>
      <w:rPr>
        <w:rFonts w:ascii="Calibri" w:cs="Calibri" w:eastAsia="Calibri" w:hAnsi="Calibri"/>
        <w:color w:val="5B6770"/>
        <w:sz w:val="16"/>
        <w:szCs w:val="16"/>
      </w:rPr>
      <w:t xml:space="preserve">Worksheet 4 · page </w:t>
    </w:r>
    <w:r>
      <w:rPr>
        <w:rFonts w:ascii="Calibri" w:cs="Calibri" w:eastAsia="Calibri" w:hAnsi="Calibri"/>
        <w:color w:val="5B6770"/>
        <w:sz w:val="16"/>
        <w:szCs w:val="16"/>
      </w:rPr>
      <w:fldChar w:fldCharType="begin"/>
    </w:r>
    <w:r>
      <w:rPr>
        <w:rFonts w:ascii="Calibri" w:cs="Calibri" w:eastAsia="Calibri" w:hAnsi="Calibri"/>
        <w:color w:val="5B6770"/>
        <w:sz w:val="16"/>
        <w:szCs w:val="16"/>
      </w:rPr>
      <w:instrText xml:space="preserve">PAGE</w:instrText>
    </w:r>
    <w:r>
      <w:rPr>
        <w:rFonts w:ascii="Calibri" w:cs="Calibri" w:eastAsia="Calibri" w:hAnsi="Calibri"/>
        <w:color w:val="5B6770"/>
        <w:sz w:val="16"/>
        <w:szCs w:val="16"/>
      </w:rPr>
      <w:fldChar w:fldCharType="separate"/>
    </w:r>
    <w:r>
      <w:rPr>
        <w:rFonts w:ascii="Calibri" w:cs="Calibri" w:eastAsia="Calibri" w:hAnsi="Calibri"/>
        <w:color w:val="5B677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F2A30"/>
        <w:sz w:val="21"/>
        <w:szCs w:val="21"/>
      </w:rPr>
    </w:rPrDefault>
    <w:pPrDefault>
      <w:pPr>
        <w:spacing w:after="120"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keepNext/>
      <w:spacing w:after="80" w:before="0"/>
      <w:outlineLvl w:val="0"/>
    </w:pPr>
    <w:rPr>
      <w:rFonts w:ascii="Calibri" w:cs="Calibri" w:eastAsia="Calibri" w:hAnsi="Calibri"/>
      <w:b/>
      <w:bCs/>
      <w:color w:val="1F2A30"/>
      <w:sz w:val="36"/>
      <w:szCs w:val="3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 4: Absorption assessment</dc:title>
  <dc:creator>Hafez Selim</dc:creator>
  <dc:description>Companion worksheet to Drug–Drug Interactions in Drug Safety and Pharmacovigilance, Chapter 4</dc:description>
  <cp:lastModifiedBy>Un-named</cp:lastModifiedBy>
  <cp:revision>1</cp:revision>
  <dcterms:created xsi:type="dcterms:W3CDTF">2026-10-29T13:18:43.975Z</dcterms:created>
  <dcterms:modified xsi:type="dcterms:W3CDTF">2026-10-29T13:18:43.975Z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