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E5C63"/>
          <w:spacing w:val="60"/>
          <w:sz w:val="20"/>
          <w:szCs w:val="20"/>
        </w:rPr>
        <w:t xml:space="preserve">WORKSHEET 5</w:t>
      </w:r>
    </w:p>
    <w:p>
      <w:pPr>
        <w:pStyle w:val="Heading1"/>
      </w:pPr>
      <w:r>
        <w:t xml:space="preserve">Mechanism-to-consequence assessment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Practice output for Chapter 5, Metabolic inhibition and induction.</w:t>
      </w:r>
    </w:p>
    <w:p>
      <w:pPr>
        <w:spacing w:after="200"/>
      </w:pPr>
      <w:r>
        <w:t xml:space="preserve">Complete the rows in order. Each should be answerable from the case, from a cited source, or marked unknown.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830"/>
        <w:gridCol w:w="1814"/>
        <w:gridCol w:w="1816"/>
      </w:tblGrid>
      <w:tr>
        <w:trPr>
          <w:cantSplit/>
          <w:tblHeader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to record</w:t>
            </w:r>
          </w:p>
        </w:tc>
        <w:tc>
          <w:tcPr>
            <w:tcW w:type="dxa" w:w="181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  <w:tc>
          <w:tcPr>
            <w:tcW w:type="dxa" w:w="18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Confidence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Object and precipitant</w:t>
            </w:r>
          </w:p>
        </w:tc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Whose exposure changes, and which drug causes it</w:t>
            </w:r>
          </w:p>
        </w:tc>
        <w:tc>
          <w:tcPr>
            <w:tcW w:type="dxa" w:w="181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8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Affected pathway</w:t>
            </w:r>
          </w:p>
        </w:tc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Enzyme or transporter, and site: gut wall, liver, kidney</w:t>
            </w:r>
          </w:p>
        </w:tc>
        <w:tc>
          <w:tcPr>
            <w:tcW w:type="dxa" w:w="181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8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Share of clearance (fm)</w:t>
            </w:r>
          </w:p>
        </w:tc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Fraction of clearance carried by that pathway</w:t>
            </w:r>
          </w:p>
        </w:tc>
        <w:tc>
          <w:tcPr>
            <w:tcW w:type="dxa" w:w="181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8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Mechanism type</w:t>
            </w:r>
          </w:p>
        </w:tc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Reversible, time-dependent, or induction</w:t>
            </w:r>
          </w:p>
        </w:tc>
        <w:tc>
          <w:tcPr>
            <w:tcW w:type="dxa" w:w="181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8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Expected direction</w:t>
            </w:r>
          </w:p>
        </w:tc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Exposure up or down; active species up or down</w:t>
            </w:r>
          </w:p>
        </w:tc>
        <w:tc>
          <w:tcPr>
            <w:tcW w:type="dxa" w:w="181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8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Expected size</w:t>
            </w:r>
          </w:p>
        </w:tc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Measured or predicted AUC ratio, with source</w:t>
            </w:r>
          </w:p>
        </w:tc>
        <w:tc>
          <w:tcPr>
            <w:tcW w:type="dxa" w:w="181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8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Expected timing</w:t>
            </w:r>
          </w:p>
        </w:tc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When the full effect appears, and when it would end</w:t>
            </w:r>
          </w:p>
        </w:tc>
        <w:tc>
          <w:tcPr>
            <w:tcW w:type="dxa" w:w="181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8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Exposure in this case</w:t>
            </w:r>
          </w:p>
        </w:tc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Doses, dates, overlap, concentrations, adherence</w:t>
            </w:r>
          </w:p>
        </w:tc>
        <w:tc>
          <w:tcPr>
            <w:tcW w:type="dxa" w:w="181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8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Predicted versus observed</w:t>
            </w:r>
          </w:p>
        </w:tc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Toxicity or therapeutic failure, and whether the event matches</w:t>
            </w:r>
          </w:p>
        </w:tc>
        <w:tc>
          <w:tcPr>
            <w:tcW w:type="dxa" w:w="181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8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Alternatives</w:t>
            </w:r>
          </w:p>
        </w:tc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Competing explanations, and a question for each</w:t>
            </w:r>
          </w:p>
        </w:tc>
        <w:tc>
          <w:tcPr>
            <w:tcW w:type="dxa" w:w="181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8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62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Conclusion</w:t>
            </w:r>
          </w:p>
        </w:tc>
        <w:tc>
          <w:tcPr>
            <w:tcW w:type="dxa" w:w="383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color w:val="1F2A30"/>
                <w:sz w:val="19"/>
                <w:szCs w:val="19"/>
              </w:rPr>
              <w:t xml:space="preserve">Judgment, driving rows, key uncertainty, next action</w:t>
            </w:r>
          </w:p>
        </w:tc>
        <w:tc>
          <w:tcPr>
            <w:tcW w:type="dxa" w:w="181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1816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</w:tbl>
    <w:p>
      <w:pPr>
        <w:spacing w:after="200"/>
      </w:pPr>
    </w:p>
    <w:sectPr>
      <w:footerReference w:type="default" r:id="rId6"/>
      <w:pgSz w:w="12240" w:h="15840" w:orient="portrait"/>
      <w:pgMar w:top="1080" w:right="1080" w:bottom="108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7C9" w:sz="4" w:space="6"/>
      </w:pBdr>
      <w:spacing w:after="40"/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Companion worksheet to </w:t>
    </w:r>
    <w:r>
      <w:rPr>
        <w:rFonts w:ascii="Calibri" w:cs="Calibri" w:eastAsia="Calibri" w:hAnsi="Calibri"/>
        <w:i/>
        <w:iCs/>
        <w:color w:val="5B6770"/>
        <w:sz w:val="16"/>
        <w:szCs w:val="16"/>
      </w:rPr>
      <w:t xml:space="preserve">Drug–Drug Interactions in Drug Safety and Pharmacovigilance</w:t>
    </w:r>
    <w:r>
      <w:rPr>
        <w:rFonts w:ascii="Calibri" w:cs="Calibri" w:eastAsia="Calibri" w:hAnsi="Calibri"/>
        <w:color w:val="5B6770"/>
        <w:sz w:val="16"/>
        <w:szCs w:val="16"/>
      </w:rPr>
      <w:t xml:space="preserve"> (H. Selim). Educational template; adapt to your organization's procedures.</w:t>
    </w:r>
  </w:p>
  <w:p>
    <w:pPr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Worksheet 5 · page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</w:r>
    <w:r>
      <w:rPr>
        <w:rFonts w:ascii="Calibri" w:cs="Calibri" w:eastAsia="Calibri" w:hAnsi="Calibri"/>
        <w:color w:val="5B677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770"/>
        <w:sz w:val="16"/>
        <w:szCs w:val="16"/>
      </w:rPr>
      <w:fldChar w:fldCharType="separate"/>
    </w:r>
    <w:r>
      <w:rPr>
        <w:rFonts w:ascii="Calibri" w:cs="Calibri" w:eastAsia="Calibri" w:hAnsi="Calibri"/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A30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80" w:before="0"/>
      <w:outlineLvl w:val="0"/>
    </w:pPr>
    <w:rPr>
      <w:rFonts w:ascii="Calibri" w:cs="Calibri" w:eastAsia="Calibri" w:hAnsi="Calibri"/>
      <w:b/>
      <w:bCs/>
      <w:color w:val="1F2A3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5: Mechanism-to-consequence assessment</dc:title>
  <dc:creator>Hafez Selim</dc:creator>
  <dc:description>Companion worksheet to Drug–Drug Interactions in Drug Safety and Pharmacovigilance, Chapter 5</dc:description>
  <cp:lastModifiedBy>Un-named</cp:lastModifiedBy>
  <cp:revision>1</cp:revision>
  <dcterms:created xsi:type="dcterms:W3CDTF">2026-10-29T13:18:44.005Z</dcterms:created>
  <dcterms:modified xsi:type="dcterms:W3CDTF">2026-10-29T13:18:44.005Z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