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E5C63"/>
          <w:spacing w:val="60"/>
          <w:sz w:val="20"/>
          <w:szCs w:val="20"/>
        </w:rPr>
        <w:t xml:space="preserve">WORKSHEET 6</w:t>
      </w:r>
    </w:p>
    <w:p>
      <w:pPr>
        <w:pStyle w:val="Heading1"/>
      </w:pPr>
      <w:r>
        <w:t xml:space="preserve">Elimination pathway map</w:t>
      </w:r>
    </w:p>
    <w:p>
      <w:pPr>
        <w:spacing w:after="160"/>
      </w:pPr>
      <w:r>
        <w:rPr>
          <w:rFonts w:ascii="Calibri" w:cs="Calibri" w:eastAsia="Calibri" w:hAnsi="Calibri"/>
          <w:i/>
          <w:iCs/>
          <w:color w:val="5B6770"/>
          <w:sz w:val="22"/>
          <w:szCs w:val="22"/>
        </w:rPr>
        <w:t xml:space="preserve">Practice output for Chapter 6, Transporters, renal elimination, and distribution.</w:t>
      </w:r>
    </w:p>
    <w:p>
      <w:pPr>
        <w:spacing w:after="200"/>
      </w:pPr>
      <w:r>
        <w:t xml:space="preserve">The map is the practice output for this chapter. List the routes by which the object drug leaves the body and what the perpetrator and the patient do to each, then state the net expected change.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736"/>
        <w:gridCol w:w="3556"/>
        <w:gridCol w:w="3009"/>
        <w:gridCol w:w="2188"/>
        <w:gridCol w:w="2191"/>
      </w:tblGrid>
      <w:tr>
        <w:trPr>
          <w:cantSplit/>
          <w:tblHeader/>
        </w:trPr>
        <w:tc>
          <w:tcPr>
            <w:tcW w:type="dxa" w:w="2736"/>
            <w:tcBorders>
              <w:top w:val="single" w:color="B7C7C9" w:sz="4"/>
              <w:left w:val="single" w:color="B7C7C9" w:sz="4"/>
              <w:bottom w:val="single" w:color="B7C7C9" w:sz="4"/>
              <w:right w:val="single" w:color="B7C7C9" w:sz="4"/>
            </w:tcBorders>
            <w:shd w:fill="0E5C63" w:color="auto" w:val="clear"/>
            <w:tcMar>
              <w:top w:type="dxa" w:w="80"/>
              <w:left w:type="dxa" w:w="120"/>
              <w:bottom w:type="dxa" w:w="80"/>
              <w:right w:type="dxa" w:w="120"/>
            </w:tcMar>
            <w:vAlign w:val="top"/>
          </w:tcPr>
          <w:p>
            <w:pPr>
              <w:spacing w:after="0" w:line="252"/>
            </w:pPr>
            <w:r>
              <w:rPr>
                <w:rFonts w:ascii="Calibri" w:cs="Calibri" w:eastAsia="Calibri" w:hAnsi="Calibri"/>
                <w:b/>
                <w:bCs/>
                <w:color w:val="FFFFFF"/>
                <w:sz w:val="21"/>
                <w:szCs w:val="21"/>
              </w:rPr>
              <w:t xml:space="preserve">Pathway</w:t>
            </w:r>
          </w:p>
        </w:tc>
        <w:tc>
          <w:tcPr>
            <w:tcW w:type="dxa" w:w="3556"/>
            <w:tcBorders>
              <w:top w:val="single" w:color="B7C7C9" w:sz="4"/>
              <w:left w:val="single" w:color="B7C7C9" w:sz="4"/>
              <w:bottom w:val="single" w:color="B7C7C9" w:sz="4"/>
              <w:right w:val="single" w:color="B7C7C9" w:sz="4"/>
            </w:tcBorders>
            <w:shd w:fill="0E5C63" w:color="auto" w:val="clear"/>
            <w:tcMar>
              <w:top w:type="dxa" w:w="80"/>
              <w:left w:type="dxa" w:w="120"/>
              <w:bottom w:type="dxa" w:w="80"/>
              <w:right w:type="dxa" w:w="120"/>
            </w:tcMar>
            <w:vAlign w:val="top"/>
          </w:tcPr>
          <w:p>
            <w:pPr>
              <w:spacing w:after="0" w:line="252"/>
            </w:pPr>
            <w:r>
              <w:rPr>
                <w:rFonts w:ascii="Calibri" w:cs="Calibri" w:eastAsia="Calibri" w:hAnsi="Calibri"/>
                <w:b/>
                <w:bCs/>
                <w:color w:val="FFFFFF"/>
                <w:sz w:val="21"/>
                <w:szCs w:val="21"/>
              </w:rPr>
              <w:t xml:space="preserve">Guiding question</w:t>
            </w:r>
          </w:p>
        </w:tc>
        <w:tc>
          <w:tcPr>
            <w:tcW w:type="dxa" w:w="3009"/>
            <w:tcBorders>
              <w:top w:val="single" w:color="B7C7C9" w:sz="4"/>
              <w:left w:val="single" w:color="B7C7C9" w:sz="4"/>
              <w:bottom w:val="single" w:color="B7C7C9" w:sz="4"/>
              <w:right w:val="single" w:color="B7C7C9" w:sz="4"/>
            </w:tcBorders>
            <w:shd w:fill="0E5C63" w:color="auto" w:val="clear"/>
            <w:tcMar>
              <w:top w:type="dxa" w:w="80"/>
              <w:left w:type="dxa" w:w="120"/>
              <w:bottom w:type="dxa" w:w="80"/>
              <w:right w:type="dxa" w:w="120"/>
            </w:tcMar>
            <w:vAlign w:val="top"/>
          </w:tcPr>
          <w:p>
            <w:pPr>
              <w:spacing w:after="0" w:line="252"/>
            </w:pPr>
            <w:r>
              <w:rPr>
                <w:rFonts w:ascii="Calibri" w:cs="Calibri" w:eastAsia="Calibri" w:hAnsi="Calibri"/>
                <w:b/>
                <w:bCs/>
                <w:color w:val="FFFFFF"/>
                <w:sz w:val="21"/>
                <w:szCs w:val="21"/>
              </w:rPr>
              <w:t xml:space="preserve">Findings in this case</w:t>
            </w:r>
          </w:p>
        </w:tc>
        <w:tc>
          <w:tcPr>
            <w:tcW w:type="dxa" w:w="2188"/>
            <w:tcBorders>
              <w:top w:val="single" w:color="B7C7C9" w:sz="4"/>
              <w:left w:val="single" w:color="B7C7C9" w:sz="4"/>
              <w:bottom w:val="single" w:color="B7C7C9" w:sz="4"/>
              <w:right w:val="single" w:color="B7C7C9" w:sz="4"/>
            </w:tcBorders>
            <w:shd w:fill="0E5C63" w:color="auto" w:val="clear"/>
            <w:tcMar>
              <w:top w:type="dxa" w:w="80"/>
              <w:left w:type="dxa" w:w="120"/>
              <w:bottom w:type="dxa" w:w="80"/>
              <w:right w:type="dxa" w:w="120"/>
            </w:tcMar>
            <w:vAlign w:val="top"/>
          </w:tcPr>
          <w:p>
            <w:pPr>
              <w:spacing w:after="0" w:line="252"/>
            </w:pPr>
            <w:r>
              <w:rPr>
                <w:rFonts w:ascii="Calibri" w:cs="Calibri" w:eastAsia="Calibri" w:hAnsi="Calibri"/>
                <w:b/>
                <w:bCs/>
                <w:color w:val="FFFFFF"/>
                <w:sz w:val="21"/>
                <w:szCs w:val="21"/>
              </w:rPr>
              <w:t xml:space="preserve">Perpetrator effect</w:t>
            </w:r>
          </w:p>
        </w:tc>
        <w:tc>
          <w:tcPr>
            <w:tcW w:type="dxa" w:w="2191"/>
            <w:tcBorders>
              <w:top w:val="single" w:color="B7C7C9" w:sz="4"/>
              <w:left w:val="single" w:color="B7C7C9" w:sz="4"/>
              <w:bottom w:val="single" w:color="B7C7C9" w:sz="4"/>
              <w:right w:val="single" w:color="B7C7C9" w:sz="4"/>
            </w:tcBorders>
            <w:shd w:fill="0E5C63" w:color="auto" w:val="clear"/>
            <w:tcMar>
              <w:top w:type="dxa" w:w="80"/>
              <w:left w:type="dxa" w:w="120"/>
              <w:bottom w:type="dxa" w:w="80"/>
              <w:right w:type="dxa" w:w="120"/>
            </w:tcMar>
            <w:vAlign w:val="top"/>
          </w:tcPr>
          <w:p>
            <w:pPr>
              <w:spacing w:after="0" w:line="252"/>
            </w:pPr>
            <w:r>
              <w:rPr>
                <w:rFonts w:ascii="Calibri" w:cs="Calibri" w:eastAsia="Calibri" w:hAnsi="Calibri"/>
                <w:b/>
                <w:bCs/>
                <w:color w:val="FFFFFF"/>
                <w:sz w:val="21"/>
                <w:szCs w:val="21"/>
              </w:rPr>
              <w:t xml:space="preserve">Confidence</w:t>
            </w:r>
          </w:p>
        </w:tc>
      </w:tr>
      <w:tr>
        <w:trPr>
          <w:cantSplit/>
          <w:tblHeader w:val="off"/>
          <w:trHeight w:val="1300" w:hRule="atLeast"/>
        </w:trPr>
        <w:tc>
          <w:tcPr>
            <w:tcW w:type="dxa" w:w="2736"/>
            <w:tcBorders>
              <w:top w:val="single" w:color="B7C7C9" w:sz="4"/>
              <w:left w:val="single" w:color="B7C7C9" w:sz="4"/>
              <w:bottom w:val="single" w:color="B7C7C9" w:sz="4"/>
              <w:right w:val="single" w:color="B7C7C9" w:sz="4"/>
            </w:tcBorders>
            <w:shd w:fill="E6F1F1" w:color="auto" w:val="clear"/>
            <w:tcMar>
              <w:top w:type="dxa" w:w="80"/>
              <w:left w:type="dxa" w:w="120"/>
              <w:bottom w:type="dxa" w:w="80"/>
              <w:right w:type="dxa" w:w="120"/>
            </w:tcMar>
            <w:vAlign w:val="top"/>
          </w:tcPr>
          <w:p>
            <w:pPr>
              <w:spacing w:after="0" w:line="252"/>
            </w:pPr>
            <w:r>
              <w:rPr>
                <w:rFonts w:ascii="Calibri" w:cs="Calibri" w:eastAsia="Calibri" w:hAnsi="Calibri"/>
                <w:b/>
                <w:bCs/>
                <w:color w:val="1F2A30"/>
                <w:sz w:val="20"/>
                <w:szCs w:val="20"/>
              </w:rPr>
              <w:t xml:space="preserve">Renal filtration</w:t>
            </w:r>
          </w:p>
        </w:tc>
        <w:tc>
          <w:tcPr>
            <w:tcW w:type="dxa" w:w="3556"/>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r>
              <w:rPr>
                <w:color w:val="1F2A30"/>
                <w:sz w:val="19"/>
                <w:szCs w:val="19"/>
              </w:rPr>
              <w:t xml:space="preserve">Is the drug filtered, and what is the patient's GFR</w:t>
            </w:r>
          </w:p>
        </w:tc>
        <w:tc>
          <w:tcPr>
            <w:tcW w:type="dxa" w:w="3009"/>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c>
          <w:tcPr>
            <w:tcW w:type="dxa" w:w="2188"/>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c>
          <w:tcPr>
            <w:tcW w:type="dxa" w:w="2191"/>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r>
      <w:tr>
        <w:trPr>
          <w:cantSplit/>
          <w:tblHeader w:val="off"/>
          <w:trHeight w:val="1300" w:hRule="atLeast"/>
        </w:trPr>
        <w:tc>
          <w:tcPr>
            <w:tcW w:type="dxa" w:w="2736"/>
            <w:tcBorders>
              <w:top w:val="single" w:color="B7C7C9" w:sz="4"/>
              <w:left w:val="single" w:color="B7C7C9" w:sz="4"/>
              <w:bottom w:val="single" w:color="B7C7C9" w:sz="4"/>
              <w:right w:val="single" w:color="B7C7C9" w:sz="4"/>
            </w:tcBorders>
            <w:shd w:fill="E6F1F1" w:color="auto" w:val="clear"/>
            <w:tcMar>
              <w:top w:type="dxa" w:w="80"/>
              <w:left w:type="dxa" w:w="120"/>
              <w:bottom w:type="dxa" w:w="80"/>
              <w:right w:type="dxa" w:w="120"/>
            </w:tcMar>
            <w:vAlign w:val="top"/>
          </w:tcPr>
          <w:p>
            <w:pPr>
              <w:spacing w:after="0" w:line="252"/>
            </w:pPr>
            <w:r>
              <w:rPr>
                <w:rFonts w:ascii="Calibri" w:cs="Calibri" w:eastAsia="Calibri" w:hAnsi="Calibri"/>
                <w:b/>
                <w:bCs/>
                <w:color w:val="1F2A30"/>
                <w:sz w:val="20"/>
                <w:szCs w:val="20"/>
              </w:rPr>
              <w:t xml:space="preserve">Renal secretion</w:t>
            </w:r>
          </w:p>
        </w:tc>
        <w:tc>
          <w:tcPr>
            <w:tcW w:type="dxa" w:w="3556"/>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r>
              <w:rPr>
                <w:color w:val="1F2A30"/>
                <w:sz w:val="19"/>
                <w:szCs w:val="19"/>
              </w:rPr>
              <w:t xml:space="preserve">Which transporters, and is a competitor present</w:t>
            </w:r>
          </w:p>
        </w:tc>
        <w:tc>
          <w:tcPr>
            <w:tcW w:type="dxa" w:w="3009"/>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c>
          <w:tcPr>
            <w:tcW w:type="dxa" w:w="2188"/>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c>
          <w:tcPr>
            <w:tcW w:type="dxa" w:w="2191"/>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r>
      <w:tr>
        <w:trPr>
          <w:cantSplit/>
          <w:tblHeader w:val="off"/>
          <w:trHeight w:val="1300" w:hRule="atLeast"/>
        </w:trPr>
        <w:tc>
          <w:tcPr>
            <w:tcW w:type="dxa" w:w="2736"/>
            <w:tcBorders>
              <w:top w:val="single" w:color="B7C7C9" w:sz="4"/>
              <w:left w:val="single" w:color="B7C7C9" w:sz="4"/>
              <w:bottom w:val="single" w:color="B7C7C9" w:sz="4"/>
              <w:right w:val="single" w:color="B7C7C9" w:sz="4"/>
            </w:tcBorders>
            <w:shd w:fill="E6F1F1" w:color="auto" w:val="clear"/>
            <w:tcMar>
              <w:top w:type="dxa" w:w="80"/>
              <w:left w:type="dxa" w:w="120"/>
              <w:bottom w:type="dxa" w:w="80"/>
              <w:right w:type="dxa" w:w="120"/>
            </w:tcMar>
            <w:vAlign w:val="top"/>
          </w:tcPr>
          <w:p>
            <w:pPr>
              <w:spacing w:after="0" w:line="252"/>
            </w:pPr>
            <w:r>
              <w:rPr>
                <w:rFonts w:ascii="Calibri" w:cs="Calibri" w:eastAsia="Calibri" w:hAnsi="Calibri"/>
                <w:b/>
                <w:bCs/>
                <w:color w:val="1F2A30"/>
                <w:sz w:val="20"/>
                <w:szCs w:val="20"/>
              </w:rPr>
              <w:t xml:space="preserve">Renal reabsorption</w:t>
            </w:r>
          </w:p>
        </w:tc>
        <w:tc>
          <w:tcPr>
            <w:tcW w:type="dxa" w:w="3556"/>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r>
              <w:rPr>
                <w:color w:val="1F2A30"/>
                <w:sz w:val="19"/>
                <w:szCs w:val="19"/>
              </w:rPr>
              <w:t xml:space="preserve">Is reabsorption relevant, and is it altered</w:t>
            </w:r>
          </w:p>
        </w:tc>
        <w:tc>
          <w:tcPr>
            <w:tcW w:type="dxa" w:w="3009"/>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c>
          <w:tcPr>
            <w:tcW w:type="dxa" w:w="2188"/>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c>
          <w:tcPr>
            <w:tcW w:type="dxa" w:w="2191"/>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r>
      <w:tr>
        <w:trPr>
          <w:cantSplit/>
          <w:tblHeader w:val="off"/>
          <w:trHeight w:val="1300" w:hRule="atLeast"/>
        </w:trPr>
        <w:tc>
          <w:tcPr>
            <w:tcW w:type="dxa" w:w="2736"/>
            <w:tcBorders>
              <w:top w:val="single" w:color="B7C7C9" w:sz="4"/>
              <w:left w:val="single" w:color="B7C7C9" w:sz="4"/>
              <w:bottom w:val="single" w:color="B7C7C9" w:sz="4"/>
              <w:right w:val="single" w:color="B7C7C9" w:sz="4"/>
            </w:tcBorders>
            <w:shd w:fill="E6F1F1" w:color="auto" w:val="clear"/>
            <w:tcMar>
              <w:top w:type="dxa" w:w="80"/>
              <w:left w:type="dxa" w:w="120"/>
              <w:bottom w:type="dxa" w:w="80"/>
              <w:right w:type="dxa" w:w="120"/>
            </w:tcMar>
            <w:vAlign w:val="top"/>
          </w:tcPr>
          <w:p>
            <w:pPr>
              <w:spacing w:after="0" w:line="252"/>
            </w:pPr>
            <w:r>
              <w:rPr>
                <w:rFonts w:ascii="Calibri" w:cs="Calibri" w:eastAsia="Calibri" w:hAnsi="Calibri"/>
                <w:b/>
                <w:bCs/>
                <w:color w:val="1F2A30"/>
                <w:sz w:val="20"/>
                <w:szCs w:val="20"/>
              </w:rPr>
              <w:t xml:space="preserve">Hepatic and biliary</w:t>
            </w:r>
          </w:p>
        </w:tc>
        <w:tc>
          <w:tcPr>
            <w:tcW w:type="dxa" w:w="3556"/>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r>
              <w:rPr>
                <w:color w:val="1F2A30"/>
                <w:sz w:val="19"/>
                <w:szCs w:val="19"/>
              </w:rPr>
              <w:t xml:space="preserve">Which enzymes, and any P-gp or BCRP role</w:t>
            </w:r>
          </w:p>
        </w:tc>
        <w:tc>
          <w:tcPr>
            <w:tcW w:type="dxa" w:w="3009"/>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c>
          <w:tcPr>
            <w:tcW w:type="dxa" w:w="2188"/>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c>
          <w:tcPr>
            <w:tcW w:type="dxa" w:w="2191"/>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r>
      <w:tr>
        <w:trPr>
          <w:cantSplit/>
          <w:tblHeader w:val="off"/>
          <w:trHeight w:val="1300" w:hRule="atLeast"/>
        </w:trPr>
        <w:tc>
          <w:tcPr>
            <w:tcW w:type="dxa" w:w="2736"/>
            <w:tcBorders>
              <w:top w:val="single" w:color="B7C7C9" w:sz="4"/>
              <w:left w:val="single" w:color="B7C7C9" w:sz="4"/>
              <w:bottom w:val="single" w:color="B7C7C9" w:sz="4"/>
              <w:right w:val="single" w:color="B7C7C9" w:sz="4"/>
            </w:tcBorders>
            <w:shd w:fill="E6F1F1" w:color="auto" w:val="clear"/>
            <w:tcMar>
              <w:top w:type="dxa" w:w="80"/>
              <w:left w:type="dxa" w:w="120"/>
              <w:bottom w:type="dxa" w:w="80"/>
              <w:right w:type="dxa" w:w="120"/>
            </w:tcMar>
            <w:vAlign w:val="top"/>
          </w:tcPr>
          <w:p>
            <w:pPr>
              <w:spacing w:after="0" w:line="252"/>
            </w:pPr>
            <w:r>
              <w:rPr>
                <w:rFonts w:ascii="Calibri" w:cs="Calibri" w:eastAsia="Calibri" w:hAnsi="Calibri"/>
                <w:b/>
                <w:bCs/>
                <w:color w:val="1F2A30"/>
                <w:sz w:val="20"/>
                <w:szCs w:val="20"/>
              </w:rPr>
              <w:t xml:space="preserve">Uptake into the organ</w:t>
            </w:r>
          </w:p>
        </w:tc>
        <w:tc>
          <w:tcPr>
            <w:tcW w:type="dxa" w:w="3556"/>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r>
              <w:rPr>
                <w:color w:val="1F2A30"/>
                <w:sz w:val="19"/>
                <w:szCs w:val="19"/>
              </w:rPr>
              <w:t xml:space="preserve">OATP or OAT uptake as rate-limiting step</w:t>
            </w:r>
          </w:p>
        </w:tc>
        <w:tc>
          <w:tcPr>
            <w:tcW w:type="dxa" w:w="3009"/>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c>
          <w:tcPr>
            <w:tcW w:type="dxa" w:w="2188"/>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c>
          <w:tcPr>
            <w:tcW w:type="dxa" w:w="2191"/>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r>
      <w:tr>
        <w:trPr>
          <w:cantSplit/>
          <w:tblHeader w:val="off"/>
          <w:trHeight w:val="1300" w:hRule="atLeast"/>
        </w:trPr>
        <w:tc>
          <w:tcPr>
            <w:tcW w:type="dxa" w:w="2736"/>
            <w:tcBorders>
              <w:top w:val="single" w:color="B7C7C9" w:sz="4"/>
              <w:left w:val="single" w:color="B7C7C9" w:sz="4"/>
              <w:bottom w:val="single" w:color="B7C7C9" w:sz="4"/>
              <w:right w:val="single" w:color="B7C7C9" w:sz="4"/>
            </w:tcBorders>
            <w:shd w:fill="E6F1F1" w:color="auto" w:val="clear"/>
            <w:tcMar>
              <w:top w:type="dxa" w:w="80"/>
              <w:left w:type="dxa" w:w="120"/>
              <w:bottom w:type="dxa" w:w="80"/>
              <w:right w:type="dxa" w:w="120"/>
            </w:tcMar>
            <w:vAlign w:val="top"/>
          </w:tcPr>
          <w:p>
            <w:pPr>
              <w:spacing w:after="0" w:line="252"/>
            </w:pPr>
            <w:r>
              <w:rPr>
                <w:rFonts w:ascii="Calibri" w:cs="Calibri" w:eastAsia="Calibri" w:hAnsi="Calibri"/>
                <w:b/>
                <w:bCs/>
                <w:color w:val="1F2A30"/>
                <w:sz w:val="20"/>
                <w:szCs w:val="20"/>
              </w:rPr>
              <w:t xml:space="preserve">Plasma protein binding</w:t>
            </w:r>
          </w:p>
        </w:tc>
        <w:tc>
          <w:tcPr>
            <w:tcW w:type="dxa" w:w="3556"/>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r>
              <w:rPr>
                <w:color w:val="1F2A30"/>
                <w:sz w:val="19"/>
                <w:szCs w:val="19"/>
              </w:rPr>
              <w:t xml:space="preserve">Unbound fraction, and any displacement claim</w:t>
            </w:r>
          </w:p>
        </w:tc>
        <w:tc>
          <w:tcPr>
            <w:tcW w:type="dxa" w:w="3009"/>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c>
          <w:tcPr>
            <w:tcW w:type="dxa" w:w="2188"/>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c>
          <w:tcPr>
            <w:tcW w:type="dxa" w:w="2191"/>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r>
      <w:tr>
        <w:trPr>
          <w:cantSplit/>
          <w:tblHeader w:val="off"/>
          <w:trHeight w:val="1300" w:hRule="atLeast"/>
        </w:trPr>
        <w:tc>
          <w:tcPr>
            <w:tcW w:type="dxa" w:w="2736"/>
            <w:tcBorders>
              <w:top w:val="single" w:color="B7C7C9" w:sz="4"/>
              <w:left w:val="single" w:color="B7C7C9" w:sz="4"/>
              <w:bottom w:val="single" w:color="B7C7C9" w:sz="4"/>
              <w:right w:val="single" w:color="B7C7C9" w:sz="4"/>
            </w:tcBorders>
            <w:shd w:fill="E6F1F1" w:color="auto" w:val="clear"/>
            <w:tcMar>
              <w:top w:type="dxa" w:w="80"/>
              <w:left w:type="dxa" w:w="120"/>
              <w:bottom w:type="dxa" w:w="80"/>
              <w:right w:type="dxa" w:w="120"/>
            </w:tcMar>
            <w:vAlign w:val="top"/>
          </w:tcPr>
          <w:p>
            <w:pPr>
              <w:spacing w:after="0" w:line="252"/>
            </w:pPr>
            <w:r>
              <w:rPr>
                <w:rFonts w:ascii="Calibri" w:cs="Calibri" w:eastAsia="Calibri" w:hAnsi="Calibri"/>
                <w:b/>
                <w:bCs/>
                <w:color w:val="1F2A30"/>
                <w:sz w:val="20"/>
                <w:szCs w:val="20"/>
              </w:rPr>
              <w:t xml:space="preserve">Net exposure change</w:t>
            </w:r>
          </w:p>
        </w:tc>
        <w:tc>
          <w:tcPr>
            <w:tcW w:type="dxa" w:w="3556"/>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r>
              <w:rPr>
                <w:color w:val="1F2A30"/>
                <w:sz w:val="19"/>
                <w:szCs w:val="19"/>
              </w:rPr>
              <w:t xml:space="preserve">Direction and approximate size, with the source</w:t>
            </w:r>
          </w:p>
        </w:tc>
        <w:tc>
          <w:tcPr>
            <w:tcW w:type="dxa" w:w="3009"/>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c>
          <w:tcPr>
            <w:tcW w:type="dxa" w:w="2188"/>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c>
          <w:tcPr>
            <w:tcW w:type="dxa" w:w="2191"/>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r>
      <w:tr>
        <w:trPr>
          <w:cantSplit/>
          <w:tblHeader w:val="off"/>
          <w:trHeight w:val="1300" w:hRule="atLeast"/>
        </w:trPr>
        <w:tc>
          <w:tcPr>
            <w:tcW w:type="dxa" w:w="2736"/>
            <w:tcBorders>
              <w:top w:val="single" w:color="B7C7C9" w:sz="4"/>
              <w:left w:val="single" w:color="B7C7C9" w:sz="4"/>
              <w:bottom w:val="single" w:color="B7C7C9" w:sz="4"/>
              <w:right w:val="single" w:color="B7C7C9" w:sz="4"/>
            </w:tcBorders>
            <w:shd w:fill="E6F1F1" w:color="auto" w:val="clear"/>
            <w:tcMar>
              <w:top w:type="dxa" w:w="80"/>
              <w:left w:type="dxa" w:w="120"/>
              <w:bottom w:type="dxa" w:w="80"/>
              <w:right w:type="dxa" w:w="120"/>
            </w:tcMar>
            <w:vAlign w:val="top"/>
          </w:tcPr>
          <w:p>
            <w:pPr>
              <w:spacing w:after="0" w:line="252"/>
            </w:pPr>
            <w:r>
              <w:rPr>
                <w:rFonts w:ascii="Calibri" w:cs="Calibri" w:eastAsia="Calibri" w:hAnsi="Calibri"/>
                <w:b/>
                <w:bCs/>
                <w:color w:val="1F2A30"/>
                <w:sz w:val="20"/>
                <w:szCs w:val="20"/>
              </w:rPr>
              <w:t xml:space="preserve">Pharmacodynamic overlap</w:t>
            </w:r>
          </w:p>
        </w:tc>
        <w:tc>
          <w:tcPr>
            <w:tcW w:type="dxa" w:w="3556"/>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r>
              <w:rPr>
                <w:color w:val="1F2A30"/>
                <w:sz w:val="19"/>
                <w:szCs w:val="19"/>
              </w:rPr>
              <w:t xml:space="preserve">Any shared target or additive toxicity</w:t>
            </w:r>
          </w:p>
        </w:tc>
        <w:tc>
          <w:tcPr>
            <w:tcW w:type="dxa" w:w="3009"/>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c>
          <w:tcPr>
            <w:tcW w:type="dxa" w:w="2188"/>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c>
          <w:tcPr>
            <w:tcW w:type="dxa" w:w="2191"/>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r>
      <w:tr>
        <w:trPr>
          <w:cantSplit/>
          <w:tblHeader w:val="off"/>
          <w:trHeight w:val="1300" w:hRule="atLeast"/>
        </w:trPr>
        <w:tc>
          <w:tcPr>
            <w:tcW w:type="dxa" w:w="2736"/>
            <w:tcBorders>
              <w:top w:val="single" w:color="B7C7C9" w:sz="4"/>
              <w:left w:val="single" w:color="B7C7C9" w:sz="4"/>
              <w:bottom w:val="single" w:color="B7C7C9" w:sz="4"/>
              <w:right w:val="single" w:color="B7C7C9" w:sz="4"/>
            </w:tcBorders>
            <w:shd w:fill="E6F1F1" w:color="auto" w:val="clear"/>
            <w:tcMar>
              <w:top w:type="dxa" w:w="80"/>
              <w:left w:type="dxa" w:w="120"/>
              <w:bottom w:type="dxa" w:w="80"/>
              <w:right w:type="dxa" w:w="120"/>
            </w:tcMar>
            <w:vAlign w:val="top"/>
          </w:tcPr>
          <w:p>
            <w:pPr>
              <w:spacing w:after="0" w:line="252"/>
            </w:pPr>
            <w:r>
              <w:rPr>
                <w:rFonts w:ascii="Calibri" w:cs="Calibri" w:eastAsia="Calibri" w:hAnsi="Calibri"/>
                <w:b/>
                <w:bCs/>
                <w:color w:val="1F2A30"/>
                <w:sz w:val="20"/>
                <w:szCs w:val="20"/>
              </w:rPr>
              <w:t xml:space="preserve">Conclusion</w:t>
            </w:r>
          </w:p>
        </w:tc>
        <w:tc>
          <w:tcPr>
            <w:tcW w:type="dxa" w:w="3556"/>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r>
              <w:rPr>
                <w:color w:val="1F2A30"/>
                <w:sz w:val="19"/>
                <w:szCs w:val="19"/>
              </w:rPr>
              <w:t xml:space="preserve">Judgment, driving pathways, key uncertainty, action</w:t>
            </w:r>
          </w:p>
        </w:tc>
        <w:tc>
          <w:tcPr>
            <w:tcW w:type="dxa" w:w="3009"/>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c>
          <w:tcPr>
            <w:tcW w:type="dxa" w:w="2188"/>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c>
          <w:tcPr>
            <w:tcW w:type="dxa" w:w="2191"/>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r>
    </w:tbl>
    <w:p>
      <w:pPr>
        <w:spacing w:after="200"/>
      </w:pPr>
    </w:p>
    <w:sectPr>
      <w:footerReference w:type="default" r:id="rId6"/>
      <w:pgSz w:w="15840" w:h="12240" w:orient="landscape"/>
      <w:pgMar w:top="1080" w:right="1080" w:bottom="1080" w:left="1080" w:header="50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C7C9" w:sz="4" w:space="6"/>
      </w:pBdr>
      <w:spacing w:after="40"/>
      <w:jc w:val="center"/>
    </w:pPr>
    <w:r>
      <w:rPr>
        <w:rFonts w:ascii="Calibri" w:cs="Calibri" w:eastAsia="Calibri" w:hAnsi="Calibri"/>
        <w:color w:val="5B6770"/>
        <w:sz w:val="16"/>
        <w:szCs w:val="16"/>
      </w:rPr>
      <w:t xml:space="preserve">Companion worksheet to </w:t>
    </w:r>
    <w:r>
      <w:rPr>
        <w:rFonts w:ascii="Calibri" w:cs="Calibri" w:eastAsia="Calibri" w:hAnsi="Calibri"/>
        <w:i/>
        <w:iCs/>
        <w:color w:val="5B6770"/>
        <w:sz w:val="16"/>
        <w:szCs w:val="16"/>
      </w:rPr>
      <w:t xml:space="preserve">Drug–Drug Interactions in Drug Safety and Pharmacovigilance</w:t>
    </w:r>
    <w:r>
      <w:rPr>
        <w:rFonts w:ascii="Calibri" w:cs="Calibri" w:eastAsia="Calibri" w:hAnsi="Calibri"/>
        <w:color w:val="5B6770"/>
        <w:sz w:val="16"/>
        <w:szCs w:val="16"/>
      </w:rPr>
      <w:t xml:space="preserve"> (H. Selim). Educational template; adapt to your organization's procedures.</w:t>
    </w:r>
  </w:p>
  <w:p>
    <w:pPr>
      <w:jc w:val="center"/>
    </w:pPr>
    <w:r>
      <w:rPr>
        <w:rFonts w:ascii="Calibri" w:cs="Calibri" w:eastAsia="Calibri" w:hAnsi="Calibri"/>
        <w:color w:val="5B6770"/>
        <w:sz w:val="16"/>
        <w:szCs w:val="16"/>
      </w:rPr>
      <w:t xml:space="preserve">Worksheet 6 · page </w:t>
    </w:r>
    <w:r>
      <w:rPr>
        <w:rFonts w:ascii="Calibri" w:cs="Calibri" w:eastAsia="Calibri" w:hAnsi="Calibri"/>
        <w:color w:val="5B6770"/>
        <w:sz w:val="16"/>
        <w:szCs w:val="16"/>
      </w:rPr>
      <w:fldChar w:fldCharType="begin"/>
    </w:r>
    <w:r>
      <w:rPr>
        <w:rFonts w:ascii="Calibri" w:cs="Calibri" w:eastAsia="Calibri" w:hAnsi="Calibri"/>
        <w:color w:val="5B6770"/>
        <w:sz w:val="16"/>
        <w:szCs w:val="16"/>
      </w:rPr>
      <w:instrText xml:space="preserve">PAGE</w:instrText>
    </w:r>
    <w:r>
      <w:rPr>
        <w:rFonts w:ascii="Calibri" w:cs="Calibri" w:eastAsia="Calibri" w:hAnsi="Calibri"/>
        <w:color w:val="5B6770"/>
        <w:sz w:val="16"/>
        <w:szCs w:val="16"/>
      </w:rPr>
      <w:fldChar w:fldCharType="separate"/>
    </w:r>
    <w:r>
      <w:rPr>
        <w:rFonts w:ascii="Calibri" w:cs="Calibri" w:eastAsia="Calibri" w:hAnsi="Calibri"/>
        <w:color w:val="5B67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2A30"/>
        <w:sz w:val="21"/>
        <w:szCs w:val="21"/>
      </w:rPr>
    </w:rPrDefault>
    <w:pPrDefault>
      <w:pPr>
        <w:spacing w:after="12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80" w:before="0"/>
      <w:outlineLvl w:val="0"/>
    </w:pPr>
    <w:rPr>
      <w:rFonts w:ascii="Calibri" w:cs="Calibri" w:eastAsia="Calibri" w:hAnsi="Calibri"/>
      <w:b/>
      <w:bCs/>
      <w:color w:val="1F2A30"/>
      <w:sz w:val="36"/>
      <w:szCs w:val="3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6: Elimination pathway map</dc:title>
  <dc:creator>Hafez Selim</dc:creator>
  <dc:description>Companion worksheet to Drug–Drug Interactions in Drug Safety and Pharmacovigilance, Chapter 6</dc:description>
  <cp:lastModifiedBy>Un-named</cp:lastModifiedBy>
  <cp:revision>1</cp:revision>
  <dcterms:created xsi:type="dcterms:W3CDTF">2026-10-29T13:18:44.035Z</dcterms:created>
  <dcterms:modified xsi:type="dcterms:W3CDTF">2026-10-29T13:18:44.035Z</dcterms:modified>
</cp:coreProperties>
</file>

<file path=docProps/custom.xml><?xml version="1.0" encoding="utf-8"?>
<Properties xmlns="http://schemas.openxmlformats.org/officeDocument/2006/custom-properties" xmlns:vt="http://schemas.openxmlformats.org/officeDocument/2006/docPropsVTypes"/>
</file>