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7</w:t>
      </w:r>
    </w:p>
    <w:p>
      <w:pPr>
        <w:pStyle w:val="Heading1"/>
      </w:pPr>
      <w:r>
        <w:t xml:space="preserve">Pharmacodynamic overlap matrix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7, Pharmacodynamic interactions.</w:t>
      </w:r>
    </w:p>
    <w:p>
      <w:pPr>
        <w:spacing w:after="200"/>
      </w:pPr>
      <w:r>
        <w:t xml:space="preserve">The matrix is this chapter's practice output. Screen every domain, not only the one the event suggests. In the </w:t>
      </w:r>
      <w:r>
        <w:rPr>
          <w:i/>
          <w:iCs/>
        </w:rPr>
        <w:t xml:space="preserve">Judgment</w:t>
      </w:r>
      <w:r>
        <w:t xml:space="preserve"> column use one of four entries: </w:t>
      </w:r>
      <w:r>
        <w:rPr>
          <w:b/>
          <w:bCs/>
        </w:rPr>
        <w:t xml:space="preserve">No overlap</w:t>
      </w:r>
      <w:r>
        <w:t xml:space="preserve">, </w:t>
      </w:r>
      <w:r>
        <w:rPr>
          <w:b/>
          <w:bCs/>
        </w:rPr>
        <w:t xml:space="preserve">Overlap only</w:t>
      </w:r>
      <w:r>
        <w:t xml:space="preserve">, </w:t>
      </w:r>
      <w:r>
        <w:rPr>
          <w:b/>
          <w:bCs/>
        </w:rPr>
        <w:t xml:space="preserve">Overlap with evidence of harm</w:t>
      </w:r>
      <w:r>
        <w:t xml:space="preserve">, or </w:t>
      </w:r>
      <w:r>
        <w:rPr>
          <w:b/>
          <w:bCs/>
        </w:rPr>
        <w:t xml:space="preserve">Unknown</w:t>
      </w:r>
      <w:r>
        <w:t xml:space="preserve">, with the reason in a few words. Do not assign points. Section 7.5 contains a completed, annotated example.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3283"/>
        <w:gridCol w:w="3146"/>
        <w:gridCol w:w="2462"/>
        <w:gridCol w:w="2464"/>
      </w:tblGrid>
      <w:tr>
        <w:trPr>
          <w:cantSplit/>
          <w:tblHeader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Domain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Drugs and non-drug factors with this effect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 beyond overlap</w:t>
            </w: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Patient modifiers</w:t>
            </w: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Judgment and information needed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Case identifiers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Case number, event, all drugs with start and stop dates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Bleeding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Anticoagulant, antiplatelet, NSAID, SSRI or SNRI, other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Cardiac repolarization (QT)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QT-prolonging drugs; potassium, magnesium, heart rate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CNS and respiratory depression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Opioids, benzodiazepines, gabapentinoids, alcohol, other sedatives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Serotonin toxicity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Serotonergic drugs, recent dose changes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Potassium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Drugs raising or lowering potassium; renal function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Glucose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Drugs causing, masking, or opposing hypoglycemia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Immune function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Immunosuppressive drugs, cytopenias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Other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Blood pressure, anticholinergic burden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Pharmacokinetic component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Any concurrent exposure change (Chapters 4 to 6)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3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Overall statement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Judgment · driving domain · key uncertainty · next action</w:t>
            </w:r>
          </w:p>
        </w:tc>
        <w:tc>
          <w:tcPr>
            <w:tcW w:type="dxa" w:w="314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7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7: Pharmacodynamic overlap matrix</dc:title>
  <dc:creator>Hafez Selim</dc:creator>
  <dc:description>Companion worksheet to Drug–Drug Interactions in Drug Safety and Pharmacovigilance, Chapter 7</dc:description>
  <cp:lastModifiedBy>Un-named</cp:lastModifiedBy>
  <cp:revision>1</cp:revision>
  <dcterms:created xsi:type="dcterms:W3CDTF">2026-10-29T13:18:44.061Z</dcterms:created>
  <dcterms:modified xsi:type="dcterms:W3CDTF">2026-10-29T13:18:44.061Z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