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10</w:t>
      </w:r>
    </w:p>
    <w:p>
      <w:pPr>
        <w:pStyle w:val="Heading1"/>
      </w:pPr>
      <w:r>
        <w:t xml:space="preserve">Biologic interaction review checklist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10, Biologics and complex therapies.</w:t>
      </w:r>
    </w:p>
    <w:p>
      <w:pPr>
        <w:spacing w:after="200"/>
      </w:pPr>
      <w:r>
        <w:t xml:space="preserve">Use this checklist when a case includes a therapeutic protein, conjugate, oligonucleotide, or cell therapy. Record </w:t>
      </w:r>
      <w:r>
        <w:rPr>
          <w:b/>
          <w:bCs/>
        </w:rPr>
        <w:t xml:space="preserve">Yes</w:t>
      </w:r>
      <w:r>
        <w:t xml:space="preserve">, </w:t>
      </w:r>
      <w:r>
        <w:rPr>
          <w:b/>
          <w:bCs/>
        </w:rPr>
        <w:t xml:space="preserve">No</w:t>
      </w:r>
      <w:r>
        <w:t xml:space="preserve">, or </w:t>
      </w:r>
      <w:r>
        <w:rPr>
          <w:b/>
          <w:bCs/>
        </w:rPr>
        <w:t xml:space="preserve">Unknown</w:t>
      </w:r>
      <w:r>
        <w:t xml:space="preserve"> in the </w:t>
      </w:r>
      <w:r>
        <w:rPr>
          <w:i/>
          <w:iCs/>
        </w:rPr>
        <w:t xml:space="preserve">Status</w:t>
      </w:r>
      <w:r>
        <w:t xml:space="preserve"> column.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4377"/>
        <w:gridCol w:w="2736"/>
        <w:gridCol w:w="1368"/>
        <w:gridCol w:w="2463"/>
      </w:tblGrid>
      <w:tr>
        <w:trPr>
          <w:cantSplit/>
          <w:tblHeader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Finding in this case</w:t>
            </w: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 or information needed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Modality and mechanism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What is the product, its target, and its effect on cytokines or immune function?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Disease activity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How inflamed was the patient before and after starting? CRP or other markers with dates?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Disease-mediated effect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Narrow-margin CYP substrates in the regimen? Direction expected on start and on stop?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Timing window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Dates of first and last doses; window extending weeks after the last dose?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Concentrations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Substrate levels before and after, with sample timing?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Immunogenicity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Anti-drug antibodies or loss of response? Concomitant methotrexate or other immunomodulator changes?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Immunosuppressive burden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All immunomodulators, steroids, recent long-acting biologics? Infection signs possibly masked?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Component-specific exposure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For conjugates: payload metabolism and precipitants?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Evidence available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Clinical DDI data, related-product data, mechanism only? Labeling statement and date?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Adherence, product change, other precipitants, disease course, sampling?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Conclusion</w:t>
            </w:r>
          </w:p>
        </w:tc>
        <w:tc>
          <w:tcPr>
            <w:tcW w:type="dxa" w:w="437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Relevance, key uncertainty, next action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10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10: Biologic interaction review checklist</dc:title>
  <dc:creator>Hafez Selim</dc:creator>
  <dc:description>Companion worksheet to Drug–Drug Interactions in Drug Safety and Pharmacovigilance, Chapter 10</dc:description>
  <cp:lastModifiedBy>Un-named</cp:lastModifiedBy>
  <cp:revision>1</cp:revision>
  <dcterms:created xsi:type="dcterms:W3CDTF">2026-10-29T13:18:44.149Z</dcterms:created>
  <dcterms:modified xsi:type="dcterms:W3CDTF">2026-10-29T13:18:44.149Z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