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E5C63"/>
          <w:spacing w:val="60"/>
          <w:sz w:val="20"/>
          <w:szCs w:val="20"/>
        </w:rPr>
        <w:t xml:space="preserve">WORKSHEET 12</w:t>
      </w:r>
    </w:p>
    <w:p>
      <w:pPr>
        <w:pStyle w:val="Heading1"/>
      </w:pPr>
      <w:r>
        <w:t xml:space="preserve">Case-screening assessment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770"/>
          <w:sz w:val="22"/>
          <w:szCs w:val="22"/>
        </w:rPr>
        <w:t xml:space="preserve">Practice output for Chapter 12, Recognizing interaction-related clinical patterns.</w:t>
      </w:r>
    </w:p>
    <w:p>
      <w:pPr>
        <w:spacing w:after="200"/>
      </w:pPr>
      <w:r>
        <w:t xml:space="preserve">Complete the first table for every case being screened, then list each alternative in the second. Use one of four entries for status: </w:t>
      </w:r>
      <w:r>
        <w:rPr>
          <w:b/>
          <w:bCs/>
        </w:rPr>
        <w:t xml:space="preserve">Leading</w:t>
      </w:r>
      <w:r>
        <w:t xml:space="preserve">, </w:t>
      </w:r>
      <w:r>
        <w:rPr>
          <w:b/>
          <w:bCs/>
        </w:rPr>
        <w:t xml:space="preserve">Not excluded</w:t>
      </w:r>
      <w:r>
        <w:t xml:space="preserve">, </w:t>
      </w:r>
      <w:r>
        <w:rPr>
          <w:b/>
          <w:bCs/>
        </w:rPr>
        <w:t xml:space="preserve">Less likely</w:t>
      </w:r>
      <w:r>
        <w:t xml:space="preserve">, </w:t>
      </w:r>
      <w:r>
        <w:rPr>
          <w:b/>
          <w:bCs/>
        </w:rPr>
        <w:t xml:space="preserve">Unlikely</w:t>
      </w:r>
      <w:r>
        <w:t xml:space="preserve">. Do not assign points.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4636"/>
        <w:gridCol w:w="3025"/>
      </w:tblGrid>
      <w:tr>
        <w:trPr>
          <w:cantSplit/>
          <w:tblHeader/>
        </w:trPr>
        <w:tc>
          <w:tcPr>
            <w:tcW w:type="dxa" w:w="24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46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Finding</w:t>
            </w:r>
          </w:p>
        </w:tc>
        <w:tc>
          <w:tcPr>
            <w:tcW w:type="dxa" w:w="30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Interpretation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Interaction pattern</w:t>
            </w:r>
          </w:p>
        </w:tc>
        <w:tc>
          <w:tcPr>
            <w:tcW w:type="dxa" w:w="46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Object, precipitant, mechanism (PK, PD, or both)</w:t>
            </w:r>
          </w:p>
        </w:tc>
        <w:tc>
          <w:tcPr>
            <w:tcW w:type="dxa" w:w="30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Event definition</w:t>
            </w:r>
          </w:p>
        </w:tc>
        <w:tc>
          <w:tcPr>
            <w:tcW w:type="dxa" w:w="46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Criteria used; documented discriminating features</w:t>
            </w:r>
          </w:p>
        </w:tc>
        <w:tc>
          <w:tcPr>
            <w:tcW w:type="dxa" w:w="30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Narrative clues</w:t>
            </w:r>
          </w:p>
        </w:tc>
        <w:tc>
          <w:tcPr>
            <w:tcW w:type="dxa" w:w="46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Change, sequence, event-driven medication, reporter's attribution</w:t>
            </w:r>
          </w:p>
        </w:tc>
        <w:tc>
          <w:tcPr>
            <w:tcW w:type="dxa" w:w="30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Laboratory trend</w:t>
            </w:r>
          </w:p>
        </w:tc>
        <w:tc>
          <w:tcPr>
            <w:tcW w:type="dxa" w:w="46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Baseline, direction, time course, illness effect</w:t>
            </w:r>
          </w:p>
        </w:tc>
        <w:tc>
          <w:tcPr>
            <w:tcW w:type="dxa" w:w="30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Concentrations</w:t>
            </w:r>
          </w:p>
        </w:tc>
        <w:tc>
          <w:tcPr>
            <w:tcW w:type="dxa" w:w="46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Timing, steady state, analyte, assay</w:t>
            </w:r>
          </w:p>
        </w:tc>
        <w:tc>
          <w:tcPr>
            <w:tcW w:type="dxa" w:w="30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Toxicity or efficacy</w:t>
            </w:r>
          </w:p>
        </w:tc>
        <w:tc>
          <w:tcPr>
            <w:tcW w:type="dxa" w:w="46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Unexpected toxicity, loss of efficacy, or both</w:t>
            </w:r>
          </w:p>
        </w:tc>
        <w:tc>
          <w:tcPr>
            <w:tcW w:type="dxa" w:w="30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1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Screening outcome</w:t>
            </w:r>
          </w:p>
        </w:tc>
        <w:tc>
          <w:tcPr>
            <w:tcW w:type="dxa" w:w="463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Screen in or out, with reason; next step</w:t>
            </w:r>
          </w:p>
        </w:tc>
        <w:tc>
          <w:tcPr>
            <w:tcW w:type="dxa" w:w="30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721"/>
        <w:gridCol w:w="2721"/>
        <w:gridCol w:w="2622"/>
      </w:tblGrid>
      <w:tr>
        <w:trPr>
          <w:cantSplit/>
          <w:tblHeader/>
        </w:trPr>
        <w:tc>
          <w:tcPr>
            <w:tcW w:type="dxa" w:w="20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Alternative</w:t>
            </w:r>
          </w:p>
        </w:tc>
        <w:tc>
          <w:tcPr>
            <w:tcW w:type="dxa" w:w="272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Features for</w:t>
            </w:r>
          </w:p>
        </w:tc>
        <w:tc>
          <w:tcPr>
            <w:tcW w:type="dxa" w:w="272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Features against</w:t>
            </w:r>
          </w:p>
        </w:tc>
        <w:tc>
          <w:tcPr>
            <w:tcW w:type="dxa" w:w="262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Status and information needed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0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72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72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62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0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72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72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62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0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72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72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62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</w:tbl>
    <w:p>
      <w:pPr>
        <w:spacing w:after="200"/>
      </w:pPr>
    </w:p>
    <w:sectPr>
      <w:footerReference w:type="default" r:id="rId6"/>
      <w:pgSz w:w="12240" w:h="15840" w:orient="portrait"/>
      <w:pgMar w:top="1080" w:right="1080" w:bottom="108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7C9" w:sz="4" w:space="6"/>
      </w:pBdr>
      <w:spacing w:after="40"/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Companion worksheet to </w:t>
    </w:r>
    <w:r>
      <w:rPr>
        <w:rFonts w:ascii="Calibri" w:cs="Calibri" w:eastAsia="Calibri" w:hAnsi="Calibri"/>
        <w:i/>
        <w:iCs/>
        <w:color w:val="5B6770"/>
        <w:sz w:val="16"/>
        <w:szCs w:val="16"/>
      </w:rPr>
      <w:t xml:space="preserve">Drug–Drug Interactions in Drug Safety and Pharmacovigilance</w:t>
    </w:r>
    <w:r>
      <w:rPr>
        <w:rFonts w:ascii="Calibri" w:cs="Calibri" w:eastAsia="Calibri" w:hAnsi="Calibri"/>
        <w:color w:val="5B6770"/>
        <w:sz w:val="16"/>
        <w:szCs w:val="16"/>
      </w:rPr>
      <w:t xml:space="preserve"> (H. Selim). Educational template; adapt to your organization's procedures.</w:t>
    </w:r>
  </w:p>
  <w:p>
    <w:pPr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Worksheet 12 · page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</w:r>
    <w:r>
      <w:rPr>
        <w:rFonts w:ascii="Calibri" w:cs="Calibri" w:eastAsia="Calibri" w:hAnsi="Calibri"/>
        <w:color w:val="5B677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B6770"/>
        <w:sz w:val="16"/>
        <w:szCs w:val="16"/>
      </w:rPr>
      <w:fldChar w:fldCharType="separate"/>
    </w:r>
    <w:r>
      <w:rPr>
        <w:rFonts w:ascii="Calibri" w:cs="Calibri" w:eastAsia="Calibri" w:hAnsi="Calibri"/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A30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80" w:before="0"/>
      <w:outlineLvl w:val="0"/>
    </w:pPr>
    <w:rPr>
      <w:rFonts w:ascii="Calibri" w:cs="Calibri" w:eastAsia="Calibri" w:hAnsi="Calibri"/>
      <w:b/>
      <w:bCs/>
      <w:color w:val="1F2A30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12: Case-screening assessment</dc:title>
  <dc:creator>Hafez Selim</dc:creator>
  <dc:description>Companion worksheet to Drug–Drug Interactions in Drug Safety and Pharmacovigilance, Chapter 12</dc:description>
  <cp:lastModifiedBy>Un-named</cp:lastModifiedBy>
  <cp:revision>1</cp:revision>
  <dcterms:created xsi:type="dcterms:W3CDTF">2026-10-29T13:18:44.220Z</dcterms:created>
  <dcterms:modified xsi:type="dcterms:W3CDTF">2026-10-29T13:18:44.220Z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