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14</w:t>
      </w:r>
    </w:p>
    <w:p>
      <w:pPr>
        <w:pStyle w:val="Heading1"/>
      </w:pPr>
      <w:r>
        <w:t xml:space="preserve">Reporter questions and revised medical opinion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14, Targeted follow-up and unresolved uncertainty.</w:t>
      </w:r>
    </w:p>
    <w:p>
      <w:pPr>
        <w:spacing w:after="200"/>
      </w:pPr>
      <w:r>
        <w:t xml:space="preserve">Use the first table to select and rank questions before writing the letter, and the second to document each revision.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620"/>
        <w:gridCol w:w="2419"/>
        <w:gridCol w:w="2219"/>
      </w:tblGrid>
      <w:tr>
        <w:trPr>
          <w:cantSplit/>
          <w:tblHeader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Candidate question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Could the answer change the conclusion? How?</w:t>
            </w:r>
          </w:p>
        </w:tc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Which hypotheses does it separate?</w:t>
            </w:r>
          </w:p>
        </w:tc>
        <w:tc>
          <w:tcPr>
            <w:tcW w:type="dxa" w:w="22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Obtainable? Priority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2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2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2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2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2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5"/>
      </w:tblGrid>
      <w:tr>
        <w:trPr>
          <w:cantSplit/>
          <w:tblHeader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Entry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Revision number, date, and what it supersedes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Conclusion for each drug and for the interaction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Evidence supporting the conclusion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What changed since the last assessment, and why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Unresolved uncertainty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Next action, including series or signal implications</w:t>
            </w:r>
          </w:p>
        </w:tc>
        <w:tc>
          <w:tcPr>
            <w:tcW w:type="dxa" w:w="685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14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14: Reporter questions and revised medical opinion</dc:title>
  <dc:creator>Hafez Selim</dc:creator>
  <dc:description>Companion worksheet to Drug–Drug Interactions in Drug Safety and Pharmacovigilance, Chapter 14</dc:description>
  <cp:lastModifiedBy>Un-named</cp:lastModifiedBy>
  <cp:revision>1</cp:revision>
  <dcterms:created xsi:type="dcterms:W3CDTF">2026-10-29T13:18:44.278Z</dcterms:created>
  <dcterms:modified xsi:type="dcterms:W3CDTF">2026-10-29T13:18:44.278Z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