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E5C63"/>
          <w:spacing w:val="60"/>
          <w:sz w:val="20"/>
          <w:szCs w:val="20"/>
        </w:rPr>
        <w:t xml:space="preserve">WORKSHEET 18</w:t>
      </w:r>
    </w:p>
    <w:p>
      <w:pPr>
        <w:pStyle w:val="Heading1"/>
      </w:pPr>
      <w:r>
        <w:t xml:space="preserve">Annotated screening analysis and limitations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B6770"/>
          <w:sz w:val="22"/>
          <w:szCs w:val="22"/>
        </w:rPr>
        <w:t xml:space="preserve">Practice output for Chapter 18, Quantitative interaction screening.</w:t>
      </w:r>
    </w:p>
    <w:p>
      <w:pPr>
        <w:spacing w:after="200"/>
      </w:pPr>
      <w:r>
        <w:t xml:space="preserve">Complete one row for each analysis. In the </w:t>
      </w:r>
      <w:r>
        <w:rPr>
          <w:i/>
          <w:iCs/>
        </w:rPr>
        <w:t xml:space="preserve">Model and comparator</w:t>
      </w:r>
      <w:r>
        <w:t xml:space="preserve"> column, always state the expectation model (additive, multiplicative, or not applicable) and the comparator. Report observed and expected counts as well as ratios.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2462"/>
        <w:gridCol w:w="3009"/>
        <w:gridCol w:w="2872"/>
        <w:gridCol w:w="2875"/>
      </w:tblGrid>
      <w:tr>
        <w:trPr>
          <w:cantSplit/>
          <w:tblHeader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Analysis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Model and comparator</w:t>
            </w: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Counts and result</w:t>
            </w: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Supports</w:t>
            </w:r>
          </w:p>
        </w:tc>
        <w:tc>
          <w:tcPr>
            <w:tcW w:type="dxa" w:w="287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0E5C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Cannot show</w:t>
            </w: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Single-drug screen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Within-drug comparison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Four strata, multiplicative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Four strata, additive or Ω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Sparse or sensitivity strata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Limitations, ranked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  <w:tr>
        <w:trPr>
          <w:cantSplit/>
          <w:tblHeader w:val="off"/>
          <w:trHeight w:val="1300" w:hRule="atLeast"/>
        </w:trPr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shd w:fill="E6F1F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1F2A30"/>
                <w:sz w:val="20"/>
                <w:szCs w:val="20"/>
              </w:rPr>
              <w:t xml:space="preserve">Conclusion and next action</w:t>
            </w:r>
          </w:p>
        </w:tc>
        <w:tc>
          <w:tcPr>
            <w:tcW w:type="dxa" w:w="246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3009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2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  <w:tc>
          <w:tcPr>
            <w:tcW w:type="dxa" w:w="2875"/>
            <w:tcBorders>
              <w:top w:val="single" w:color="B7C7C9" w:sz="4"/>
              <w:left w:val="single" w:color="B7C7C9" w:sz="4"/>
              <w:bottom w:val="single" w:color="B7C7C9" w:sz="4"/>
              <w:right w:val="single" w:color="B7C7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52"/>
            </w:pPr>
          </w:p>
        </w:tc>
      </w:tr>
    </w:tbl>
    <w:p>
      <w:pPr>
        <w:spacing w:after="200"/>
      </w:pPr>
    </w:p>
    <w:sectPr>
      <w:footerReference w:type="default" r:id="rId6"/>
      <w:pgSz w:w="15840" w:h="12240" w:orient="landscape"/>
      <w:pgMar w:top="1080" w:right="1080" w:bottom="108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7C9" w:sz="4" w:space="6"/>
      </w:pBdr>
      <w:spacing w:after="40"/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Companion worksheet to </w:t>
    </w:r>
    <w:r>
      <w:rPr>
        <w:rFonts w:ascii="Calibri" w:cs="Calibri" w:eastAsia="Calibri" w:hAnsi="Calibri"/>
        <w:i/>
        <w:iCs/>
        <w:color w:val="5B6770"/>
        <w:sz w:val="16"/>
        <w:szCs w:val="16"/>
      </w:rPr>
      <w:t xml:space="preserve">Drug–Drug Interactions in Drug Safety and Pharmacovigilance</w:t>
    </w:r>
    <w:r>
      <w:rPr>
        <w:rFonts w:ascii="Calibri" w:cs="Calibri" w:eastAsia="Calibri" w:hAnsi="Calibri"/>
        <w:color w:val="5B6770"/>
        <w:sz w:val="16"/>
        <w:szCs w:val="16"/>
      </w:rPr>
      <w:t xml:space="preserve"> (H. Selim). Educational template; adapt to your organization's procedures.</w:t>
    </w:r>
  </w:p>
  <w:p>
    <w:pPr>
      <w:jc w:val="center"/>
    </w:pPr>
    <w:r>
      <w:rPr>
        <w:rFonts w:ascii="Calibri" w:cs="Calibri" w:eastAsia="Calibri" w:hAnsi="Calibri"/>
        <w:color w:val="5B6770"/>
        <w:sz w:val="16"/>
        <w:szCs w:val="16"/>
      </w:rPr>
      <w:t xml:space="preserve">Worksheet 18 · page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</w:r>
    <w:r>
      <w:rPr>
        <w:rFonts w:ascii="Calibri" w:cs="Calibri" w:eastAsia="Calibri" w:hAnsi="Calibri"/>
        <w:color w:val="5B677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770"/>
        <w:sz w:val="16"/>
        <w:szCs w:val="16"/>
      </w:rPr>
      <w:fldChar w:fldCharType="separate"/>
    </w:r>
    <w:r>
      <w:rPr>
        <w:rFonts w:ascii="Calibri" w:cs="Calibri" w:eastAsia="Calibri" w:hAnsi="Calibri"/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A30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80" w:before="0"/>
      <w:outlineLvl w:val="0"/>
    </w:pPr>
    <w:rPr>
      <w:rFonts w:ascii="Calibri" w:cs="Calibri" w:eastAsia="Calibri" w:hAnsi="Calibri"/>
      <w:b/>
      <w:bCs/>
      <w:color w:val="1F2A30"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18: Annotated screening analysis and limitations</dc:title>
  <dc:creator>Hafez Selim</dc:creator>
  <dc:description>Companion worksheet to Drug–Drug Interactions in Drug Safety and Pharmacovigilance, Chapter 18</dc:description>
  <cp:lastModifiedBy>Un-named</cp:lastModifiedBy>
  <cp:revision>1</cp:revision>
  <dcterms:created xsi:type="dcterms:W3CDTF">2026-10-29T13:18:44.389Z</dcterms:created>
  <dcterms:modified xsi:type="dcterms:W3CDTF">2026-10-29T13:18:44.389Z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