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25</w:t>
      </w:r>
    </w:p>
    <w:p>
      <w:pPr>
        <w:pStyle w:val="Heading1"/>
      </w:pPr>
      <w:r>
        <w:t xml:space="preserve">Complete case-review package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25, Complete DDI case workshop.</w:t>
      </w:r>
    </w:p>
    <w:p>
      <w:pPr>
        <w:spacing w:after="200"/>
      </w:pPr>
      <w:r>
        <w:t xml:space="preserve">Complete one row per component. The completed example is the set of boxes and tables in Sections 25.3 to 25.7.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4032"/>
        <w:gridCol w:w="3428"/>
      </w:tblGrid>
      <w:tr>
        <w:trPr>
          <w:cantSplit/>
          <w:tblHeader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must contain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Entry for this case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Case identification and validity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Case number, receipt date (Day 0), reporter, four minimum elements, initial seriousness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Follow-up log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Each request: date, recipient, questions in priority order, answers received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Exposure and event timeline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Every drug with dose and dates; source of each fact; events and tests on the same axis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Event definition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Diagnosis, documentation (ECG, laboratory), severity, outcome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Mechanism and timing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Object and precipitant; pathway; exposure calculation with assumptions; fit of onset and recovery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Susceptibility and alternatives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Patient factors, other drugs, disease; what each adds or explains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Causality by contributor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Each drug, each factor, and the combination, with for, against, judgment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Relevance profile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Six dimensions: Supports, Against, Neutral, or Unknown, with reasons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Roles and coding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E2B role for each drug with rationale; MedDRA terms with rationale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Seriousness, expectedness, reporting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Criteria met; reference document used; expectedness by term; due dates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Narrative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Reported facts in chronological order, with sources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Final medical assessment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Conclusion, evidence, uncertainty, next action</w:t>
            </w:r>
          </w:p>
        </w:tc>
        <w:tc>
          <w:tcPr>
            <w:tcW w:type="dxa" w:w="34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2240" w:h="15840" w:orient="portrait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25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25: Complete case-review package</dc:title>
  <dc:creator>Hafez Selim</dc:creator>
  <dc:description>Companion worksheet to Drug–Drug Interactions in Drug Safety and Pharmacovigilance, Chapter 25</dc:description>
  <cp:lastModifiedBy>Un-named</cp:lastModifiedBy>
  <cp:revision>1</cp:revision>
  <dcterms:created xsi:type="dcterms:W3CDTF">2026-10-29T13:18:44.656Z</dcterms:created>
  <dcterms:modified xsi:type="dcterms:W3CDTF">2026-10-29T13:18:44.657Z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