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E5C63"/>
          <w:spacing w:val="60"/>
          <w:sz w:val="20"/>
          <w:szCs w:val="20"/>
        </w:rPr>
        <w:t xml:space="preserve">WORKSHEET 11</w:t>
      </w:r>
    </w:p>
    <w:p>
      <w:pPr>
        <w:pStyle w:val="Heading1"/>
      </w:pPr>
      <w:r>
        <w:t xml:space="preserve">Medication timeline and prioritized follow-up request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B6770"/>
          <w:sz w:val="22"/>
          <w:szCs w:val="22"/>
        </w:rPr>
        <w:t xml:space="preserve">Practice output for Chapter 11, Reconstructing actual medication exposure.</w:t>
      </w:r>
    </w:p>
    <w:p>
      <w:pPr>
        <w:spacing w:after="200"/>
      </w:pPr>
      <w:r>
        <w:t xml:space="preserve">Complete the timeline first, then derive the follow-up questions from its gaps. For each question, state how the possible answers would change the assessment; if no answer would change it, consider dropping the question.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2736"/>
        <w:gridCol w:w="2599"/>
        <w:gridCol w:w="2599"/>
        <w:gridCol w:w="2737"/>
      </w:tblGrid>
      <w:tr>
        <w:trPr>
          <w:cantSplit/>
          <w:tblHeader/>
        </w:trPr>
        <w:tc>
          <w:tcPr>
            <w:tcW w:type="dxa" w:w="300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Medicine or event</w:t>
            </w:r>
          </w:p>
        </w:tc>
        <w:tc>
          <w:tcPr>
            <w:tcW w:type="dxa" w:w="273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Dose and use</w:t>
            </w:r>
          </w:p>
        </w:tc>
        <w:tc>
          <w:tcPr>
            <w:tcW w:type="dxa" w:w="259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Start</w:t>
            </w:r>
          </w:p>
        </w:tc>
        <w:tc>
          <w:tcPr>
            <w:tcW w:type="dxa" w:w="259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Stop</w:t>
            </w:r>
          </w:p>
        </w:tc>
        <w:tc>
          <w:tcPr>
            <w:tcW w:type="dxa" w:w="2737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Source and confidence</w:t>
            </w:r>
          </w:p>
        </w:tc>
      </w:tr>
      <w:tr>
        <w:trPr>
          <w:cantSplit/>
        </w:trPr>
        <w:tc>
          <w:tcPr>
            <w:tcW w:type="dxa" w:w="13680"/>
            <w:gridSpan w:val="5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D7E7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E5C63"/>
                <w:sz w:val="21"/>
                <w:szCs w:val="21"/>
              </w:rPr>
              <w:t xml:space="preserve">Exposures (prescribed, OTC, herbal, PRN, recently stopped)</w:t>
            </w: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300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73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59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59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737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300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73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59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59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737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300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73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59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59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737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13680"/>
            <w:gridSpan w:val="5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D7E7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E5C63"/>
                <w:sz w:val="21"/>
                <w:szCs w:val="21"/>
              </w:rPr>
              <w:t xml:space="preserve">Event anchors and relevant window</w:t>
            </w: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300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73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59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59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737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300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73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59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59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737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</w:tbl>
    <w:p>
      <w:pPr>
        <w:spacing w:after="20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4"/>
        <w:gridCol w:w="4651"/>
        <w:gridCol w:w="3009"/>
        <w:gridCol w:w="4926"/>
      </w:tblGrid>
      <w:tr>
        <w:trPr>
          <w:cantSplit/>
          <w:tblHeader/>
        </w:trPr>
        <w:tc>
          <w:tcPr>
            <w:tcW w:type="dxa" w:w="1094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Priority</w:t>
            </w:r>
          </w:p>
        </w:tc>
        <w:tc>
          <w:tcPr>
            <w:tcW w:type="dxa" w:w="4651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Question</w:t>
            </w:r>
          </w:p>
        </w:tc>
        <w:tc>
          <w:tcPr>
            <w:tcW w:type="dxa" w:w="300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Addressed to</w:t>
            </w:r>
          </w:p>
        </w:tc>
        <w:tc>
          <w:tcPr>
            <w:tcW w:type="dxa" w:w="492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How the answer would change the assessment</w:t>
            </w: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1094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1</w:t>
            </w:r>
          </w:p>
        </w:tc>
        <w:tc>
          <w:tcPr>
            <w:tcW w:type="dxa" w:w="4651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300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492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1094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2</w:t>
            </w:r>
          </w:p>
        </w:tc>
        <w:tc>
          <w:tcPr>
            <w:tcW w:type="dxa" w:w="4651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300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492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1094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3</w:t>
            </w:r>
          </w:p>
        </w:tc>
        <w:tc>
          <w:tcPr>
            <w:tcW w:type="dxa" w:w="4651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300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492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1094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4</w:t>
            </w:r>
          </w:p>
        </w:tc>
        <w:tc>
          <w:tcPr>
            <w:tcW w:type="dxa" w:w="4651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300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492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</w:tbl>
    <w:p>
      <w:pPr>
        <w:spacing w:after="200"/>
      </w:pPr>
    </w:p>
    <w:sectPr>
      <w:footerReference w:type="default" r:id="rId6"/>
      <w:pgSz w:w="15840" w:h="12240" w:orient="landscape"/>
      <w:pgMar w:top="1080" w:right="1080" w:bottom="1080" w:left="1080" w:header="500" w:footer="45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7C7C9" w:sz="4" w:space="6"/>
      </w:pBdr>
      <w:spacing w:after="40"/>
      <w:jc w:val="center"/>
    </w:pPr>
    <w:r>
      <w:rPr>
        <w:rFonts w:ascii="Calibri" w:cs="Calibri" w:eastAsia="Calibri" w:hAnsi="Calibri"/>
        <w:color w:val="5B6770"/>
        <w:sz w:val="16"/>
        <w:szCs w:val="16"/>
      </w:rPr>
      <w:t xml:space="preserve">Companion worksheet to </w:t>
    </w:r>
    <w:r>
      <w:rPr>
        <w:rFonts w:ascii="Calibri" w:cs="Calibri" w:eastAsia="Calibri" w:hAnsi="Calibri"/>
        <w:i/>
        <w:iCs/>
        <w:color w:val="5B6770"/>
        <w:sz w:val="16"/>
        <w:szCs w:val="16"/>
      </w:rPr>
      <w:t xml:space="preserve">Drug–Drug Interactions in Drug Safety and Pharmacovigilance</w:t>
    </w:r>
    <w:r>
      <w:rPr>
        <w:rFonts w:ascii="Calibri" w:cs="Calibri" w:eastAsia="Calibri" w:hAnsi="Calibri"/>
        <w:color w:val="5B6770"/>
        <w:sz w:val="16"/>
        <w:szCs w:val="16"/>
      </w:rPr>
      <w:t xml:space="preserve"> (H. Selim). Educational template; adapt to your organization's procedures. CC BY-NC 4.0: non-commercial use with credit.</w:t>
    </w:r>
  </w:p>
  <w:p>
    <w:pPr>
      <w:jc w:val="center"/>
    </w:pPr>
    <w:r>
      <w:rPr>
        <w:rFonts w:ascii="Calibri" w:cs="Calibri" w:eastAsia="Calibri" w:hAnsi="Calibri"/>
        <w:color w:val="5B6770"/>
        <w:sz w:val="16"/>
        <w:szCs w:val="16"/>
      </w:rPr>
      <w:t xml:space="preserve">Worksheet 11 · page </w:t>
    </w:r>
    <w:r>
      <w:rPr>
        <w:rFonts w:ascii="Calibri" w:cs="Calibri" w:eastAsia="Calibri" w:hAnsi="Calibri"/>
        <w:color w:val="5B6770"/>
        <w:sz w:val="16"/>
        <w:szCs w:val="16"/>
      </w:rPr>
      <w:fldChar w:fldCharType="begin"/>
    </w:r>
    <w:r>
      <w:rPr>
        <w:rFonts w:ascii="Calibri" w:cs="Calibri" w:eastAsia="Calibri" w:hAnsi="Calibri"/>
        <w:color w:val="5B6770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5B6770"/>
        <w:sz w:val="16"/>
        <w:szCs w:val="16"/>
      </w:rPr>
      <w:fldChar w:fldCharType="separate"/>
    </w:r>
    <w:r>
      <w:rPr>
        <w:rFonts w:ascii="Calibri" w:cs="Calibri" w:eastAsia="Calibri" w:hAnsi="Calibri"/>
        <w:color w:val="5B67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F2A30"/>
        <w:sz w:val="21"/>
        <w:szCs w:val="21"/>
      </w:rPr>
    </w:rPrDefault>
    <w:pPrDefault>
      <w:pPr>
        <w:spacing w:after="120"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keepNext/>
      <w:spacing w:after="80" w:before="0"/>
      <w:outlineLvl w:val="0"/>
    </w:pPr>
    <w:rPr>
      <w:rFonts w:ascii="Calibri" w:cs="Calibri" w:eastAsia="Calibri" w:hAnsi="Calibri"/>
      <w:b/>
      <w:bCs/>
      <w:color w:val="1F2A30"/>
      <w:sz w:val="36"/>
      <w:szCs w:val="3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11: Medication timeline and prioritized follow-up request</dc:title>
  <dc:creator>Hafez Selim</dc:creator>
  <dc:description>Companion worksheet to Drug–Drug Interactions in Drug Safety and Pharmacovigilance, Chapter 11</dc:description>
  <cp:lastModifiedBy>Un-named</cp:lastModifiedBy>
  <cp:revision>1</cp:revision>
  <dcterms:created xsi:type="dcterms:W3CDTF">2026-10-29T17:14:52.430Z</dcterms:created>
  <dcterms:modified xsi:type="dcterms:W3CDTF">2026-10-29T17:14:52.430Z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