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13</w:t>
      </w:r>
    </w:p>
    <w:p>
      <w:pPr>
        <w:pStyle w:val="Heading1"/>
      </w:pPr>
      <w:r>
        <w:t xml:space="preserve">Structured DDI assessment with explicit uncertainty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13, Causality and competing explanations.</w:t>
      </w:r>
    </w:p>
    <w:p>
      <w:pPr>
        <w:spacing w:after="200"/>
      </w:pPr>
      <w:r>
        <w:t xml:space="preserve">Complete one row for each drug, one for the combination, and one each for competing and contributing explanations. Use plain judgments (</w:t>
      </w:r>
      <w:r>
        <w:rPr>
          <w:i/>
          <w:iCs/>
        </w:rPr>
        <w:t xml:space="preserve">principal</w:t>
      </w:r>
      <w:r>
        <w:t xml:space="preserve">, </w:t>
      </w:r>
      <w:r>
        <w:rPr>
          <w:i/>
          <w:iCs/>
        </w:rPr>
        <w:t xml:space="preserve">contributory</w:t>
      </w:r>
      <w:r>
        <w:t xml:space="preserve">, </w:t>
      </w:r>
      <w:r>
        <w:rPr>
          <w:i/>
          <w:iCs/>
        </w:rPr>
        <w:t xml:space="preserve">possible minor</w:t>
      </w:r>
      <w:r>
        <w:t xml:space="preserve">, </w:t>
      </w:r>
      <w:r>
        <w:rPr>
          <w:i/>
          <w:iCs/>
        </w:rPr>
        <w:t xml:space="preserve">unlikely</w:t>
      </w:r>
      <w:r>
        <w:t xml:space="preserve">, </w:t>
      </w:r>
      <w:r>
        <w:rPr>
          <w:i/>
          <w:iCs/>
        </w:rPr>
        <w:t xml:space="preserve">cannot assess</w:t>
      </w:r>
      <w:r>
        <w:t xml:space="preserve">) with reasons. If your organization requires an instrument category, record it in the evidence column; it does not replace the reasoning.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225"/>
        <w:gridCol w:w="1612"/>
        <w:gridCol w:w="3227"/>
      </w:tblGrid>
      <w:tr>
        <w:trPr>
          <w:cantSplit/>
          <w:tblHeader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 for and against</w:t>
            </w:r>
          </w:p>
        </w:tc>
        <w:tc>
          <w:tcPr>
            <w:tcW w:type="dxa" w:w="161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Judgment</w:t>
            </w:r>
          </w:p>
        </w:tc>
        <w:tc>
          <w:tcPr>
            <w:tcW w:type="dxa" w:w="322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uncertainty and information needed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Event definition</w:t>
            </w:r>
          </w:p>
        </w:tc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22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Drug A (object)</w:t>
            </w:r>
          </w:p>
        </w:tc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22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Drug B (precipitant)</w:t>
            </w:r>
          </w:p>
        </w:tc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22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Drug C</w:t>
            </w:r>
          </w:p>
        </w:tc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22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Combination and mechanism</w:t>
            </w:r>
          </w:p>
        </w:tc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22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Competing explanations</w:t>
            </w:r>
          </w:p>
        </w:tc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22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Contributing factors</w:t>
            </w:r>
          </w:p>
        </w:tc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22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0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Conclusion and next action</w:t>
            </w:r>
          </w:p>
        </w:tc>
        <w:tc>
          <w:tcPr>
            <w:tcW w:type="dxa" w:w="322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227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 CC BY-NC 4.0: non-commercial use with credit.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13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13: Structured DDI assessment with explicit uncertainty</dc:title>
  <dc:creator>Hafez Selim</dc:creator>
  <dc:description>Companion worksheet to Drug–Drug Interactions in Drug Safety and Pharmacovigilance, Chapter 13</dc:description>
  <cp:lastModifiedBy>Un-named</cp:lastModifiedBy>
  <cp:revision>1</cp:revision>
  <dcterms:created xsi:type="dcterms:W3CDTF">2026-10-29T17:14:52.465Z</dcterms:created>
  <dcterms:modified xsi:type="dcterms:W3CDTF">2026-10-29T17:14:52.465Z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