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E5C63"/>
          <w:spacing w:val="60"/>
          <w:sz w:val="20"/>
          <w:szCs w:val="20"/>
        </w:rPr>
        <w:t xml:space="preserve">WORKSHEET 16</w:t>
      </w:r>
    </w:p>
    <w:p>
      <w:pPr>
        <w:pStyle w:val="Heading1"/>
      </w:pPr>
      <w:r>
        <w:t xml:space="preserve">Reporting decision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B6770"/>
          <w:sz w:val="22"/>
          <w:szCs w:val="22"/>
        </w:rPr>
        <w:t xml:space="preserve">Practice output for Chapter 16, Seriousness, expectedness, and reporting decisions.</w:t>
      </w:r>
    </w:p>
    <w:p>
      <w:pPr>
        <w:spacing w:after="200"/>
      </w:pPr>
      <w:r>
        <w:rPr>
          <w:b/>
          <w:bCs/>
        </w:rPr>
        <w:t xml:space="preserve">Annotation.</w:t>
      </w:r>
      <w:r>
        <w:t xml:space="preserve"> The worksheet records the document and its version beside every expectedness judgment, so that a later reviewer can reproduce the decision. The coding of hypokalemia and hypomagnesemia as events assumes that the investigator reported them as adverse events; if they were reported only as results, they belong in the test results section (Chapter 15).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4032"/>
        <w:gridCol w:w="3428"/>
      </w:tblGrid>
      <w:tr>
        <w:trPr>
          <w:cantSplit/>
          <w:tblHeader/>
        </w:trPr>
        <w:tc>
          <w:tcPr>
            <w:tcW w:type="dxa" w:w="262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Item</w:t>
            </w:r>
          </w:p>
        </w:tc>
        <w:tc>
          <w:tcPr>
            <w:tcW w:type="dxa" w:w="403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Question</w:t>
            </w:r>
          </w:p>
        </w:tc>
        <w:tc>
          <w:tcPr>
            <w:tcW w:type="dxa" w:w="3428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Finding, source, and date</w:t>
            </w: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62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Case and Day 0</w:t>
            </w:r>
          </w:p>
        </w:tc>
        <w:tc>
          <w:tcPr>
            <w:tcW w:type="dxa" w:w="403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Case ID, source, date minimum criteria first received</w:t>
            </w:r>
          </w:p>
        </w:tc>
        <w:tc>
          <w:tcPr>
            <w:tcW w:type="dxa" w:w="3428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62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Products and roles</w:t>
            </w:r>
          </w:p>
        </w:tc>
        <w:tc>
          <w:tcPr>
            <w:tcW w:type="dxa" w:w="403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Suspect, interacting, concomitant; which are ours?</w:t>
            </w:r>
          </w:p>
        </w:tc>
        <w:tc>
          <w:tcPr>
            <w:tcW w:type="dxa" w:w="3428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62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Events</w:t>
            </w:r>
          </w:p>
        </w:tc>
        <w:tc>
          <w:tcPr>
            <w:tcW w:type="dxa" w:w="403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MedDRA PTs</w:t>
            </w:r>
          </w:p>
        </w:tc>
        <w:tc>
          <w:tcPr>
            <w:tcW w:type="dxa" w:w="3428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62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Seriousness</w:t>
            </w:r>
          </w:p>
        </w:tc>
        <w:tc>
          <w:tcPr>
            <w:tcW w:type="dxa" w:w="403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Criterion per event; who assessed; any upgrade</w:t>
            </w:r>
          </w:p>
        </w:tc>
        <w:tc>
          <w:tcPr>
            <w:tcW w:type="dxa" w:w="3428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62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Severity</w:t>
            </w:r>
          </w:p>
        </w:tc>
        <w:tc>
          <w:tcPr>
            <w:tcW w:type="dxa" w:w="403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Intensity or grade per event</w:t>
            </w:r>
          </w:p>
        </w:tc>
        <w:tc>
          <w:tcPr>
            <w:tcW w:type="dxa" w:w="3428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62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Causality basis</w:t>
            </w:r>
          </w:p>
        </w:tc>
        <w:tc>
          <w:tcPr>
            <w:tcW w:type="dxa" w:w="403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Spontaneous (implied) or investigator or sponsor assessment</w:t>
            </w:r>
          </w:p>
        </w:tc>
        <w:tc>
          <w:tcPr>
            <w:tcW w:type="dxa" w:w="3428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62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Reference document</w:t>
            </w:r>
          </w:p>
        </w:tc>
        <w:tc>
          <w:tcPr>
            <w:tcW w:type="dxa" w:w="403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RSI, CCDS, USPI, or SmPC; version and date</w:t>
            </w:r>
          </w:p>
        </w:tc>
        <w:tc>
          <w:tcPr>
            <w:tcW w:type="dxa" w:w="3428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62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Expectedness per event</w:t>
            </w:r>
          </w:p>
        </w:tc>
        <w:tc>
          <w:tcPr>
            <w:tcW w:type="dxa" w:w="403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Listed? Same nature, severity, specificity?</w:t>
            </w:r>
          </w:p>
        </w:tc>
        <w:tc>
          <w:tcPr>
            <w:tcW w:type="dxa" w:w="3428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62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Interaction in reference?</w:t>
            </w:r>
          </w:p>
        </w:tc>
        <w:tc>
          <w:tcPr>
            <w:tcW w:type="dxa" w:w="403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Described, not described; rule applied</w:t>
            </w:r>
          </w:p>
        </w:tc>
        <w:tc>
          <w:tcPr>
            <w:tcW w:type="dxa" w:w="3428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62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Regulatory contexts</w:t>
            </w:r>
          </w:p>
        </w:tc>
        <w:tc>
          <w:tcPr>
            <w:tcW w:type="dxa" w:w="403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Postmarketing or trial; regions</w:t>
            </w:r>
          </w:p>
        </w:tc>
        <w:tc>
          <w:tcPr>
            <w:tcW w:type="dxa" w:w="3428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62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Category and deadline</w:t>
            </w:r>
          </w:p>
        </w:tc>
        <w:tc>
          <w:tcPr>
            <w:tcW w:type="dxa" w:w="403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Expedited or periodic; due date per region</w:t>
            </w:r>
          </w:p>
        </w:tc>
        <w:tc>
          <w:tcPr>
            <w:tcW w:type="dxa" w:w="3428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62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Follow-up</w:t>
            </w:r>
          </w:p>
        </w:tc>
        <w:tc>
          <w:tcPr>
            <w:tcW w:type="dxa" w:w="403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Significant? New clock and date</w:t>
            </w:r>
          </w:p>
        </w:tc>
        <w:tc>
          <w:tcPr>
            <w:tcW w:type="dxa" w:w="3428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62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Other actions</w:t>
            </w:r>
          </w:p>
        </w:tc>
        <w:tc>
          <w:tcPr>
            <w:tcW w:type="dxa" w:w="403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Signal referral, medication error review</w:t>
            </w:r>
          </w:p>
        </w:tc>
        <w:tc>
          <w:tcPr>
            <w:tcW w:type="dxa" w:w="3428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</w:tbl>
    <w:p>
      <w:pPr>
        <w:spacing w:after="200"/>
      </w:pPr>
    </w:p>
    <w:sectPr>
      <w:footerReference w:type="default" r:id="rId6"/>
      <w:pgSz w:w="12240" w:h="15840" w:orient="portrait"/>
      <w:pgMar w:top="1080" w:right="1080" w:bottom="1080" w:left="1080" w:header="500" w:footer="45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7C7C9" w:sz="4" w:space="6"/>
      </w:pBdr>
      <w:spacing w:after="40"/>
      <w:jc w:val="center"/>
    </w:pPr>
    <w:r>
      <w:rPr>
        <w:rFonts w:ascii="Calibri" w:cs="Calibri" w:eastAsia="Calibri" w:hAnsi="Calibri"/>
        <w:color w:val="5B6770"/>
        <w:sz w:val="16"/>
        <w:szCs w:val="16"/>
      </w:rPr>
      <w:t xml:space="preserve">Companion worksheet to </w:t>
    </w:r>
    <w:r>
      <w:rPr>
        <w:rFonts w:ascii="Calibri" w:cs="Calibri" w:eastAsia="Calibri" w:hAnsi="Calibri"/>
        <w:i/>
        <w:iCs/>
        <w:color w:val="5B6770"/>
        <w:sz w:val="16"/>
        <w:szCs w:val="16"/>
      </w:rPr>
      <w:t xml:space="preserve">Drug–Drug Interactions in Drug Safety and Pharmacovigilance</w:t>
    </w:r>
    <w:r>
      <w:rPr>
        <w:rFonts w:ascii="Calibri" w:cs="Calibri" w:eastAsia="Calibri" w:hAnsi="Calibri"/>
        <w:color w:val="5B6770"/>
        <w:sz w:val="16"/>
        <w:szCs w:val="16"/>
      </w:rPr>
      <w:t xml:space="preserve"> (H. Selim). Educational template; adapt to your organization's procedures. CC BY-NC 4.0: non-commercial use with credit.</w:t>
    </w:r>
  </w:p>
  <w:p>
    <w:pPr>
      <w:jc w:val="center"/>
    </w:pPr>
    <w:r>
      <w:rPr>
        <w:rFonts w:ascii="Calibri" w:cs="Calibri" w:eastAsia="Calibri" w:hAnsi="Calibri"/>
        <w:color w:val="5B6770"/>
        <w:sz w:val="16"/>
        <w:szCs w:val="16"/>
      </w:rPr>
      <w:t xml:space="preserve">Worksheet 16 · page </w:t>
    </w:r>
    <w:r>
      <w:rPr>
        <w:rFonts w:ascii="Calibri" w:cs="Calibri" w:eastAsia="Calibri" w:hAnsi="Calibri"/>
        <w:color w:val="5B6770"/>
        <w:sz w:val="16"/>
        <w:szCs w:val="16"/>
      </w:rPr>
      <w:fldChar w:fldCharType="begin"/>
    </w:r>
    <w:r>
      <w:rPr>
        <w:rFonts w:ascii="Calibri" w:cs="Calibri" w:eastAsia="Calibri" w:hAnsi="Calibri"/>
        <w:color w:val="5B6770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5B6770"/>
        <w:sz w:val="16"/>
        <w:szCs w:val="16"/>
      </w:rPr>
      <w:fldChar w:fldCharType="separate"/>
    </w:r>
    <w:r>
      <w:rPr>
        <w:rFonts w:ascii="Calibri" w:cs="Calibri" w:eastAsia="Calibri" w:hAnsi="Calibri"/>
        <w:color w:val="5B67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F2A30"/>
        <w:sz w:val="21"/>
        <w:szCs w:val="21"/>
      </w:rPr>
    </w:rPrDefault>
    <w:pPrDefault>
      <w:pPr>
        <w:spacing w:after="120"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keepNext/>
      <w:spacing w:after="80" w:before="0"/>
      <w:outlineLvl w:val="0"/>
    </w:pPr>
    <w:rPr>
      <w:rFonts w:ascii="Calibri" w:cs="Calibri" w:eastAsia="Calibri" w:hAnsi="Calibri"/>
      <w:b/>
      <w:bCs/>
      <w:color w:val="1F2A30"/>
      <w:sz w:val="36"/>
      <w:szCs w:val="3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16: Reporting decision</dc:title>
  <dc:creator>Hafez Selim</dc:creator>
  <dc:description>Companion worksheet to Drug–Drug Interactions in Drug Safety and Pharmacovigilance, Chapter 16</dc:description>
  <cp:lastModifiedBy>Un-named</cp:lastModifiedBy>
  <cp:revision>1</cp:revision>
  <dcterms:created xsi:type="dcterms:W3CDTF">2026-10-29T17:14:52.527Z</dcterms:created>
  <dcterms:modified xsi:type="dcterms:W3CDTF">2026-10-29T17:14:52.527Z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