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17</w:t>
      </w:r>
    </w:p>
    <w:p>
      <w:pPr>
        <w:pStyle w:val="Heading1"/>
      </w:pPr>
      <w:r>
        <w:t xml:space="preserve">Reproducible search strategy and clinical line listing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17, Retrieving cases and constructing a useful series.</w:t>
      </w:r>
    </w:p>
    <w:p>
      <w:pPr>
        <w:spacing w:after="200"/>
      </w:pPr>
      <w:r>
        <w:t xml:space="preserve">Complete every row of Part 1, writing "not applicable" rather than leaving a row blank. In Part 2, keep both drugs, their doses, and their timing in adjacent columns. Section 17.7 has the completed example.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9850"/>
      </w:tblGrid>
      <w:tr>
        <w:trPr>
          <w:cantSplit/>
          <w:tblHeader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 1. Search element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Entry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Safety question (one sentence)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Database, release, extraction date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Period and date type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types included and excluded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drug terms and dictionary version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Precipitant list, classification source, strength categories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Route and product exclusions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Drug roles searched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definition, scope, MedDRA version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Co-reported terms extracted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Deduplication method and record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Exposure overlap rules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Quality grading rules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Outputs and counts at each step</w:t>
            </w:r>
          </w:p>
        </w:tc>
        <w:tc>
          <w:tcPr>
            <w:tcW w:type="dxa" w:w="985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3009"/>
        <w:gridCol w:w="2188"/>
        <w:gridCol w:w="3556"/>
        <w:gridCol w:w="2191"/>
      </w:tblGrid>
      <w:tr>
        <w:trPr>
          <w:cantSplit/>
          <w:tblHeader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 2. Case · patient · source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Object drug dose · precipitant dose</w:t>
            </w:r>
          </w:p>
        </w:tc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Overlap category · onset</w:t>
            </w:r>
          </w:p>
        </w:tc>
        <w:tc>
          <w:tcPr>
            <w:tcW w:type="dxa" w:w="355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Event · key investigations · outcome</w:t>
            </w:r>
          </w:p>
        </w:tc>
        <w:tc>
          <w:tcPr>
            <w:tcW w:type="dxa" w:w="219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Label adherence · grade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55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17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17: Reproducible search strategy and clinical line listing</dc:title>
  <dc:creator>Hafez Selim</dc:creator>
  <dc:description>Companion worksheet to Drug–Drug Interactions in Drug Safety and Pharmacovigilance, Chapter 17</dc:description>
  <cp:lastModifiedBy>Un-named</cp:lastModifiedBy>
  <cp:revision>1</cp:revision>
  <dcterms:created xsi:type="dcterms:W3CDTF">2026-10-29T17:14:52.543Z</dcterms:created>
  <dcterms:modified xsi:type="dcterms:W3CDTF">2026-10-29T17:14:52.543Z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