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19</w:t>
      </w:r>
    </w:p>
    <w:p>
      <w:pPr>
        <w:pStyle w:val="Heading1"/>
      </w:pPr>
      <w:r>
        <w:t xml:space="preserve">Evidence matrix with a reasoned conclusion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19, Integrating evidence across sources.</w:t>
      </w:r>
    </w:p>
    <w:p>
      <w:pPr>
        <w:spacing w:after="200"/>
      </w:pPr>
      <w:r>
        <w:t xml:space="preserve">Complete one row per source. Use </w:t>
      </w:r>
      <w:r>
        <w:rPr>
          <w:b/>
          <w:bCs/>
        </w:rPr>
        <w:t xml:space="preserve">Supports</w:t>
      </w:r>
      <w:r>
        <w:t xml:space="preserve">, </w:t>
      </w:r>
      <w:r>
        <w:rPr>
          <w:b/>
          <w:bCs/>
        </w:rPr>
        <w:t xml:space="preserve">Against</w:t>
      </w:r>
      <w:r>
        <w:t xml:space="preserve">, </w:t>
      </w:r>
      <w:r>
        <w:rPr>
          <w:b/>
          <w:bCs/>
        </w:rPr>
        <w:t xml:space="preserve">Neutral</w:t>
      </w:r>
      <w:r>
        <w:t xml:space="preserve">, or </w:t>
      </w:r>
      <w:r>
        <w:rPr>
          <w:b/>
          <w:bCs/>
        </w:rPr>
        <w:t xml:space="preserve">Unknown</w:t>
      </w:r>
      <w:r>
        <w:t xml:space="preserve"> in the </w:t>
      </w:r>
      <w:r>
        <w:rPr>
          <w:i/>
          <w:iCs/>
        </w:rPr>
        <w:t xml:space="preserve">Direction</w:t>
      </w:r>
      <w:r>
        <w:t xml:space="preserve"> column. Do not assign points.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3283"/>
        <w:gridCol w:w="3009"/>
        <w:gridCol w:w="1915"/>
        <w:gridCol w:w="3011"/>
      </w:tblGrid>
      <w:tr>
        <w:trPr>
          <w:cantSplit/>
          <w:tblHeader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finding (with numbers)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Strength and limits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Left open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Mechanistic and in vitro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Dedicated DDI studies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Model-based predictions (PBPK)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Exposure–response (e.g., C-QTc)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Precipitant's own effects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Clinical trials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reports and series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Disproportionality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Observational studies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Discordance (apparent or real, and why)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Reasoned conclusion</w:t>
            </w:r>
          </w:p>
        </w:tc>
        <w:tc>
          <w:tcPr>
            <w:tcW w:type="dxa" w:w="328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Established · not established · key uncertainty · next action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11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19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19: Evidence matrix with a reasoned conclusion</dc:title>
  <dc:creator>Hafez Selim</dc:creator>
  <dc:description>Companion worksheet to Drug–Drug Interactions in Drug Safety and Pharmacovigilance, Chapter 19</dc:description>
  <cp:lastModifiedBy>Un-named</cp:lastModifiedBy>
  <cp:revision>1</cp:revision>
  <dcterms:created xsi:type="dcterms:W3CDTF">2026-10-29T17:14:52.574Z</dcterms:created>
  <dcterms:modified xsi:type="dcterms:W3CDTF">2026-10-29T17:14:52.574Z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