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E5C63"/>
          <w:spacing w:val="60"/>
          <w:sz w:val="20"/>
          <w:szCs w:val="20"/>
        </w:rPr>
        <w:t xml:space="preserve">WORKSHEET 21</w:t>
      </w:r>
    </w:p>
    <w:p>
      <w:pPr>
        <w:pStyle w:val="Heading1"/>
      </w:pPr>
      <w:r>
        <w:t xml:space="preserve">Medication review and monitoring plan</w:t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6770"/>
          <w:sz w:val="22"/>
          <w:szCs w:val="22"/>
        </w:rPr>
        <w:t xml:space="preserve">Practice output for Chapter 21, Clinical trials and medical monitoring.</w:t>
      </w:r>
    </w:p>
    <w:p>
      <w:pPr>
        <w:spacing w:after="200"/>
      </w:pPr>
      <w:r>
        <w:t xml:space="preserve">Complete the worksheet whenever a participant takes a prohibited or restricted medicine, or a concomitant medicine changes the participant's risk.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6"/>
        <w:gridCol w:w="3628"/>
        <w:gridCol w:w="2620"/>
        <w:gridCol w:w="1816"/>
      </w:tblGrid>
      <w:tr>
        <w:trPr>
          <w:cantSplit/>
          <w:tblHeader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Element</w:t>
            </w:r>
          </w:p>
        </w:tc>
        <w:tc>
          <w:tcPr>
            <w:tcW w:type="dxa" w:w="36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Guiding questions</w:t>
            </w: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Findings and plan</w:t>
            </w: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0E5C63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Responsible and timing</w:t>
            </w: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Participant</w:t>
            </w:r>
          </w:p>
        </w:tc>
        <w:tc>
          <w:tcPr>
            <w:tcW w:type="dxa" w:w="36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Study, participant number, blinded or open, study day, last study dose</w:t>
            </w: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Medication review</w:t>
            </w:r>
          </w:p>
        </w:tc>
        <w:tc>
          <w:tcPr>
            <w:tcW w:type="dxa" w:w="36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Every medicine with dose and dates, including OTC and herbal; tier and mechanism</w:t>
            </w: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Overlap and expected effect</w:t>
            </w:r>
          </w:p>
        </w:tc>
        <w:tc>
          <w:tcPr>
            <w:tcW w:type="dxa" w:w="36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Dates of overlap; direction and size of change, with source (DDI study, PBPK, labeling)</w:t>
            </w: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Safety consequence</w:t>
            </w:r>
          </w:p>
        </w:tc>
        <w:tc>
          <w:tcPr>
            <w:tcW w:type="dxa" w:w="36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AEs, ECG, laboratory; seriousness; AESI criteria; causality; expectedness against RSI</w:t>
            </w: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Immediate actions</w:t>
            </w:r>
          </w:p>
        </w:tc>
        <w:tc>
          <w:tcPr>
            <w:tcW w:type="dxa" w:w="36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Interrupt or continue; contact with treating physician; correct risk factors</w:t>
            </w: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Monitoring</w:t>
            </w:r>
          </w:p>
        </w:tc>
        <w:tc>
          <w:tcPr>
            <w:tcW w:type="dxa" w:w="36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Tests, timing relative to dose, action thresholds</w:t>
            </w: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Restart or discontinuation</w:t>
            </w:r>
          </w:p>
        </w:tc>
        <w:tc>
          <w:tcPr>
            <w:tcW w:type="dxa" w:w="36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Criteria and earliest date, with the calculation</w:t>
            </w: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Deviation handling</w:t>
            </w:r>
          </w:p>
        </w:tc>
        <w:tc>
          <w:tcPr>
            <w:tcW w:type="dxa" w:w="36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Classification, root cause, corrective action, notifications</w:t>
            </w: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  <w:tr>
        <w:trPr>
          <w:cantSplit/>
          <w:tblHeader w:val="off"/>
          <w:trHeight w:val="1300" w:hRule="atLeast"/>
        </w:trPr>
        <w:tc>
          <w:tcPr>
            <w:tcW w:type="dxa" w:w="20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shd w:fill="E6F1F1" w:color="auto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rFonts w:ascii="Calibri" w:cs="Calibri" w:eastAsia="Calibri" w:hAnsi="Calibri"/>
                <w:b/>
                <w:bCs/>
                <w:color w:val="1F2A30"/>
                <w:sz w:val="20"/>
                <w:szCs w:val="20"/>
              </w:rPr>
              <w:t xml:space="preserve">Program-level check</w:t>
            </w:r>
          </w:p>
        </w:tc>
        <w:tc>
          <w:tcPr>
            <w:tcW w:type="dxa" w:w="3628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  <w:r>
              <w:rPr>
                <w:color w:val="1F2A30"/>
                <w:sz w:val="19"/>
                <w:szCs w:val="19"/>
              </w:rPr>
              <w:t xml:space="preserve">Similar exposures at this site or study-wide; protocol or training changes</w:t>
            </w:r>
          </w:p>
        </w:tc>
        <w:tc>
          <w:tcPr>
            <w:tcW w:type="dxa" w:w="2620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  <w:tc>
          <w:tcPr>
            <w:tcW w:type="dxa" w:w="1816"/>
            <w:tcBorders>
              <w:top w:val="single" w:color="B7C7C9" w:sz="4"/>
              <w:left w:val="single" w:color="B7C7C9" w:sz="4"/>
              <w:bottom w:val="single" w:color="B7C7C9" w:sz="4"/>
              <w:right w:val="single" w:color="B7C7C9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top"/>
          </w:tcPr>
          <w:p>
            <w:pPr>
              <w:spacing w:after="0" w:line="252"/>
            </w:pPr>
          </w:p>
        </w:tc>
      </w:tr>
    </w:tbl>
    <w:p>
      <w:pPr>
        <w:spacing w:after="200"/>
      </w:pPr>
    </w:p>
    <w:sectPr>
      <w:footerReference w:type="default" r:id="rId6"/>
      <w:pgSz w:w="12240" w:h="15840" w:orient="portrait"/>
      <w:pgMar w:top="1080" w:right="1080" w:bottom="1080" w:left="1080" w:header="50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7C7C9" w:sz="4" w:space="6"/>
      </w:pBdr>
      <w:spacing w:after="40"/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Companion worksheet to </w:t>
    </w:r>
    <w:r>
      <w:rPr>
        <w:rFonts w:ascii="Calibri" w:cs="Calibri" w:eastAsia="Calibri" w:hAnsi="Calibri"/>
        <w:i/>
        <w:iCs/>
        <w:color w:val="5B6770"/>
        <w:sz w:val="16"/>
        <w:szCs w:val="16"/>
      </w:rPr>
      <w:t xml:space="preserve">Drug–Drug Interactions in Drug Safety and Pharmacovigilance</w:t>
    </w:r>
    <w:r>
      <w:rPr>
        <w:rFonts w:ascii="Calibri" w:cs="Calibri" w:eastAsia="Calibri" w:hAnsi="Calibri"/>
        <w:color w:val="5B6770"/>
        <w:sz w:val="16"/>
        <w:szCs w:val="16"/>
      </w:rPr>
      <w:t xml:space="preserve"> (H. Selim). Educational template; adapt to your organization's procedures. CC BY-NC 4.0: non-commercial use with credit.</w:t>
    </w:r>
  </w:p>
  <w:p>
    <w:pPr>
      <w:jc w:val="center"/>
    </w:pPr>
    <w:r>
      <w:rPr>
        <w:rFonts w:ascii="Calibri" w:cs="Calibri" w:eastAsia="Calibri" w:hAnsi="Calibri"/>
        <w:color w:val="5B6770"/>
        <w:sz w:val="16"/>
        <w:szCs w:val="16"/>
      </w:rPr>
      <w:t xml:space="preserve">Worksheet 21 · page </w:t>
    </w:r>
    <w:r>
      <w:rPr>
        <w:rFonts w:ascii="Calibri" w:cs="Calibri" w:eastAsia="Calibri" w:hAnsi="Calibri"/>
        <w:color w:val="5B6770"/>
        <w:sz w:val="16"/>
        <w:szCs w:val="16"/>
      </w:rPr>
      <w:fldChar w:fldCharType="begin"/>
    </w:r>
    <w:r>
      <w:rPr>
        <w:rFonts w:ascii="Calibri" w:cs="Calibri" w:eastAsia="Calibri" w:hAnsi="Calibri"/>
        <w:color w:val="5B6770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770"/>
        <w:sz w:val="16"/>
        <w:szCs w:val="16"/>
      </w:rPr>
      <w:fldChar w:fldCharType="separate"/>
    </w:r>
    <w:r>
      <w:rPr>
        <w:rFonts w:ascii="Calibri" w:cs="Calibri" w:eastAsia="Calibri" w:hAnsi="Calibri"/>
        <w:color w:val="5B677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F2A30"/>
        <w:sz w:val="21"/>
        <w:szCs w:val="21"/>
      </w:rPr>
    </w:rPrDefault>
    <w:pPrDefault>
      <w:pPr>
        <w:spacing w:after="120" w:line="276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keepNext/>
      <w:spacing w:after="80" w:before="0"/>
      <w:outlineLvl w:val="0"/>
    </w:pPr>
    <w:rPr>
      <w:rFonts w:ascii="Calibri" w:cs="Calibri" w:eastAsia="Calibri" w:hAnsi="Calibri"/>
      <w:b/>
      <w:bCs/>
      <w:color w:val="1F2A30"/>
      <w:sz w:val="36"/>
      <w:szCs w:val="3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21: Medication review and monitoring plan</dc:title>
  <dc:creator>Hafez Selim</dc:creator>
  <dc:description>Companion worksheet to Drug–Drug Interactions in Drug Safety and Pharmacovigilance, Chapter 21</dc:description>
  <cp:lastModifiedBy>Un-named</cp:lastModifiedBy>
  <cp:revision>1</cp:revision>
  <dcterms:created xsi:type="dcterms:W3CDTF">2026-10-29T17:14:52.604Z</dcterms:created>
  <dcterms:modified xsi:type="dcterms:W3CDTF">2026-10-29T17:14:52.604Z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