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22</w:t>
      </w:r>
    </w:p>
    <w:p>
      <w:pPr>
        <w:pStyle w:val="Heading1"/>
      </w:pPr>
      <w:r>
        <w:t xml:space="preserve">Model aggregate-report section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22, Aggregate reports and benefit–risk evaluation.</w:t>
      </w:r>
    </w:p>
    <w:p>
      <w:pPr>
        <w:spacing w:after="200"/>
      </w:pPr>
      <w:r>
        <w:t xml:space="preserve">The model text in Section 22.6 is the completed example.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7"/>
        <w:gridCol w:w="4032"/>
        <w:gridCol w:w="3831"/>
      </w:tblGrid>
      <w:tr>
        <w:trPr>
          <w:cantSplit/>
          <w:tblHeader/>
        </w:trPr>
        <w:tc>
          <w:tcPr>
            <w:tcW w:type="dxa" w:w="221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Element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What it must contain</w:t>
            </w: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Your text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21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Signal title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Event and interacting drug or class named explicitly</w:t>
            </w: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21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Source and status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Source; detection and validation dates; status at finalization</w:t>
            </w: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21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Background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Mechanism, DDI and QT data, label advice at interval start</w:t>
            </w: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21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Methods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Search, SMQ or terms, deduplication, inhibitor classification, case review approach</w:t>
            </w: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21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Results: cumulative and interval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Counts with and without the interacting drug; risk factors; severity; non-adherence</w:t>
            </w: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21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Exposure context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Reporting rates with limits; co-exposure assumptions</w:t>
            </w: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21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Other sources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Trials (blinded status), studies, literature</w:t>
            </w: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21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Discussion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Consistency across sources; limitations; alternative explanations</w:t>
            </w: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21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Conclusion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Confirmed, refuted, or preliminary with planned evaluation</w:t>
            </w: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217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Downstream sections</w:t>
            </w:r>
          </w:p>
        </w:tc>
        <w:tc>
          <w:tcPr>
            <w:tcW w:type="dxa" w:w="4032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16.4, 16.5, 18, 19 consistent with the conclusion</w:t>
            </w:r>
          </w:p>
        </w:tc>
        <w:tc>
          <w:tcPr>
            <w:tcW w:type="dxa" w:w="3831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sectPr>
      <w:footerReference w:type="default" r:id="rId6"/>
      <w:pgSz w:w="12240" w:h="15840" w:orient="portrait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 CC BY-NC 4.0: non-commercial use with credit.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22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22: Model aggregate-report section</dc:title>
  <dc:creator>Hafez Selim</dc:creator>
  <dc:description>Companion worksheet to Drug–Drug Interactions in Drug Safety and Pharmacovigilance, Chapter 22</dc:description>
  <cp:lastModifiedBy>Un-named</cp:lastModifiedBy>
  <cp:revision>1</cp:revision>
  <dcterms:created xsi:type="dcterms:W3CDTF">2026-10-29T17:14:52.618Z</dcterms:created>
  <dcterms:modified xsi:type="dcterms:W3CDTF">2026-10-29T17:14:52.618Z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