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23</w:t>
      </w:r>
    </w:p>
    <w:p>
      <w:pPr>
        <w:pStyle w:val="Heading1"/>
      </w:pPr>
      <w:r>
        <w:t xml:space="preserve">Risk-management options and recommendation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23, Labeling, risk minimization, and communication.</w:t>
      </w:r>
    </w:p>
    <w:p>
      <w:pPr>
        <w:spacing w:after="200"/>
      </w:pPr>
      <w:r>
        <w:t xml:space="preserve">Complete one row per option. In the final rows, write the recommendation in the format of Recommendation 23.1.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8"/>
        <w:gridCol w:w="2872"/>
        <w:gridCol w:w="2872"/>
        <w:gridCol w:w="2872"/>
        <w:gridCol w:w="2876"/>
      </w:tblGrid>
      <w:tr>
        <w:trPr>
          <w:cantSplit/>
          <w:tblHeader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 element it addresses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for and against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Burden and unintended effects</w:t>
            </w: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Assessment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Wording change (sections 2, 4, 5, 7 / 4.2–4.5)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Dose modification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Contraindication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Monitoring (what, when, in whom)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DHPC (audience, channel)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Decision-support or system change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Other additional measure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3680"/>
            <w:gridSpan w:val="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D7E7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5C63"/>
                <w:sz w:val="21"/>
                <w:szCs w:val="21"/>
              </w:rPr>
              <w:t xml:space="preserve">Recommendation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Recommendation and rationale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Unresolved uncertainty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Responsible roles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188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Follow-up and triggers for reassessment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23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23: Risk-management options and recommendation</dc:title>
  <dc:creator>Hafez Selim</dc:creator>
  <dc:description>Companion worksheet to Drug–Drug Interactions in Drug Safety and Pharmacovigilance, Chapter 23</dc:description>
  <cp:lastModifiedBy>Un-named</cp:lastModifiedBy>
  <cp:revision>1</cp:revision>
  <dcterms:created xsi:type="dcterms:W3CDTF">2026-10-29T17:14:52.635Z</dcterms:created>
  <dcterms:modified xsi:type="dcterms:W3CDTF">2026-10-29T17:14:52.635Z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