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17375E"/>
          <w:sz w:val="18"/>
        </w:rPr>
        <w:t>COMPANION TOOLKIT · TOOL T-15</w:t>
      </w:r>
    </w:p>
    <w:p>
      <w:pPr>
        <w:pStyle w:val="Title"/>
      </w:pPr>
      <w:r>
        <w:t>Totality-of-Evidence and Device-Causality Template</w:t>
      </w:r>
    </w:p>
    <w:p>
      <w:r>
        <w:rPr>
          <w:i/>
          <w:color w:val="595959"/>
          <w:sz w:val="21"/>
        </w:rPr>
        <w:t>Part A: evidence table · Part B: structured causality argument · Part C: four-part conclusion</w:t>
      </w:r>
    </w:p>
    <w:p>
      <w:pPr>
        <w:pBdr>
          <w:bottom w:val="single" w:sz="6" w:space="1" w:color="17375E"/>
        </w:pBdr>
        <w:spacing w:after="160"/>
      </w:pPr>
      <w:r>
        <w:rPr>
          <w:color w:val="595959"/>
          <w:sz w:val="17"/>
        </w:rPr>
        <w:t>Signal Management in Medical Device Vigilance · Dr. Hafez Selim, MD, PhD · Selim Medical Press · © 2026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ayout w:type="fixed"/>
      </w:tblPr>
      <w:tblGrid>
        <w:gridCol w:w="2160"/>
        <w:gridCol w:w="7200"/>
      </w:tblGrid>
      <w:tr>
        <w:tc>
          <w:tcPr>
            <w:tcW w:type="dxa" w:w="2160"/>
            <w:shd w:val="clear" w:color="auto" w:fill="DCE6F1"/>
          </w:tcPr>
          <w:p>
            <w:r/>
            <w:r>
              <w:rPr>
                <w:b/>
                <w:color w:val="17375E"/>
              </w:rPr>
              <w:t>Purpose</w:t>
            </w:r>
          </w:p>
        </w:tc>
        <w:tc>
          <w:tcPr>
            <w:tcW w:type="dxa" w:w="7200"/>
          </w:tcPr>
          <w:p>
            <w:pPr>
              <w:spacing w:after="20" w:line="240" w:lineRule="auto"/>
            </w:pPr>
            <w:r/>
            <w:r>
              <w:rPr>
                <w:b w:val="0"/>
              </w:rPr>
              <w:t>Turns integrated assessment into a record: one row per evidence source with its weight for the question (Part A); a device-adapted causality argument (Part B); and a conclusion that states what the evidence supports, what remains uncertain, the effect on the risk management file and the action that follows (Part C).</w:t>
            </w:r>
          </w:p>
        </w:tc>
      </w:tr>
      <w:tr>
        <w:tc>
          <w:tcPr>
            <w:tcW w:type="dxa" w:w="2160"/>
            <w:shd w:val="clear" w:color="auto" w:fill="DCE6F1"/>
          </w:tcPr>
          <w:p>
            <w:r/>
            <w:r>
              <w:rPr>
                <w:b/>
                <w:color w:val="17375E"/>
              </w:rPr>
              <w:t>When to use</w:t>
            </w:r>
          </w:p>
        </w:tc>
        <w:tc>
          <w:tcPr>
            <w:tcW w:type="dxa" w:w="7200"/>
          </w:tcPr>
          <w:p>
            <w:pPr>
              <w:spacing w:after="20" w:line="240" w:lineRule="auto"/>
            </w:pPr>
            <w:r/>
            <w:r>
              <w:rPr>
                <w:b w:val="0"/>
              </w:rPr>
              <w:t>When the parts of an assessment (question, case series, returned-device findings, root cause) are complete. Complete the template before the review board meets.</w:t>
            </w:r>
          </w:p>
        </w:tc>
      </w:tr>
      <w:tr>
        <w:tc>
          <w:tcPr>
            <w:tcW w:type="dxa" w:w="2160"/>
            <w:shd w:val="clear" w:color="auto" w:fill="DCE6F1"/>
          </w:tcPr>
          <w:p>
            <w:r/>
            <w:r>
              <w:rPr>
                <w:b/>
                <w:color w:val="17375E"/>
              </w:rPr>
              <w:t>Chapter reference</w:t>
            </w:r>
          </w:p>
        </w:tc>
        <w:tc>
          <w:tcPr>
            <w:tcW w:type="dxa" w:w="7200"/>
          </w:tcPr>
          <w:p>
            <w:pPr>
              <w:spacing w:after="20" w:line="240" w:lineRule="auto"/>
            </w:pPr>
            <w:r/>
            <w:r>
              <w:rPr>
                <w:b w:val="0"/>
              </w:rPr>
              <w:t>Chapter 17, Integrated Assessment and Causality — section 17.5 (Tables 17.1 and 17.2).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304"/>
        <w:gridCol w:w="2376"/>
        <w:gridCol w:w="2304"/>
        <w:gridCol w:w="2376"/>
      </w:tblGrid>
      <w:tr>
        <w:trPr>
          <w:trHeight w:val="432" w:hRule="atLeast"/>
        </w:trPr>
        <w:tc>
          <w:tcPr>
            <w:tcW w:type="dxa" w:w="2304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Signal record ID</w:t>
            </w:r>
          </w:p>
        </w:tc>
        <w:tc>
          <w:tcPr>
            <w:tcW w:type="dxa" w:w="2376"/>
          </w:tcPr>
          <w:p>
            <w:pPr>
              <w:spacing w:after="20" w:line="240" w:lineRule="auto"/>
            </w:pPr>
            <w:r/>
          </w:p>
        </w:tc>
        <w:tc>
          <w:tcPr>
            <w:tcW w:type="dxa" w:w="2304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Device / constituent</w:t>
            </w:r>
          </w:p>
        </w:tc>
        <w:tc>
          <w:tcPr>
            <w:tcW w:type="dxa" w:w="2376"/>
          </w:tcPr>
          <w:p>
            <w:pPr>
              <w:spacing w:after="20" w:line="240" w:lineRule="auto"/>
            </w:pPr>
            <w:r/>
          </w:p>
        </w:tc>
      </w:tr>
      <w:tr>
        <w:trPr>
          <w:trHeight w:val="432" w:hRule="atLeast"/>
        </w:trPr>
        <w:tc>
          <w:tcPr>
            <w:tcW w:type="dxa" w:w="2304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Data cut</w:t>
            </w:r>
          </w:p>
        </w:tc>
        <w:tc>
          <w:tcPr>
            <w:tcW w:type="dxa" w:w="2376"/>
          </w:tcPr>
          <w:p>
            <w:pPr>
              <w:spacing w:after="20" w:line="240" w:lineRule="auto"/>
            </w:pPr>
            <w:r/>
          </w:p>
        </w:tc>
        <w:tc>
          <w:tcPr>
            <w:tcW w:type="dxa" w:w="2304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Assessment question (T-12 reference)</w:t>
            </w:r>
          </w:p>
        </w:tc>
        <w:tc>
          <w:tcPr>
            <w:tcW w:type="dxa" w:w="2376"/>
          </w:tcPr>
          <w:p>
            <w:pPr>
              <w:spacing w:after="20" w:line="240" w:lineRule="auto"/>
            </w:pPr>
            <w:r/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pPr>
        <w:pStyle w:val="Heading1"/>
      </w:pPr>
      <w:r>
        <w:t>Part A — Evidence table</w:t>
      </w:r>
    </w:p>
    <w:p>
      <w:r>
        <w:rPr>
          <w:b w:val="0"/>
        </w:rPr>
        <w:t>Weight belongs to the pairing of a source and a question. For each source ask: does it measure the outcome the question defines? Does it cover the population, version, lot or technique in question? Does it have a denominator and a fair comparator?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728"/>
        <w:gridCol w:w="2304"/>
        <w:gridCol w:w="2592"/>
        <w:gridCol w:w="1440"/>
        <w:gridCol w:w="1296"/>
      </w:tblGrid>
      <w:tr>
        <w:trPr>
          <w:tblHeader w:val="true"/>
          <w:cantSplit w:val="true"/>
        </w:trPr>
        <w:tc>
          <w:tcPr>
            <w:tcW w:type="dxa" w:w="1728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304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2592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Strength and limitation</w:t>
            </w:r>
          </w:p>
        </w:tc>
        <w:tc>
          <w:tcPr>
            <w:tcW w:type="dxa" w:w="1440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Direction</w:t>
            </w:r>
          </w:p>
        </w:tc>
        <w:tc>
          <w:tcPr>
            <w:tcW w:type="dxa" w:w="1296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rPr>
          <w:cantSplit w:val="true"/>
          <w:trHeight w:val="576" w:hRule="atLeast"/>
        </w:trPr>
        <w:tc>
          <w:tcPr>
            <w:tcW w:type="dxa" w:w="1728"/>
          </w:tcPr>
          <w:p>
            <w:pPr>
              <w:spacing w:after="20" w:line="240" w:lineRule="auto"/>
            </w:pPr>
            <w:r/>
          </w:p>
        </w:tc>
        <w:tc>
          <w:tcPr>
            <w:tcW w:type="dxa" w:w="2304"/>
          </w:tcPr>
          <w:p>
            <w:pPr>
              <w:spacing w:after="20" w:line="240" w:lineRule="auto"/>
            </w:pPr>
            <w:r/>
          </w:p>
        </w:tc>
        <w:tc>
          <w:tcPr>
            <w:tcW w:type="dxa" w:w="2592"/>
          </w:tcPr>
          <w:p>
            <w:pPr>
              <w:spacing w:after="20" w:line="240" w:lineRule="auto"/>
            </w:pPr>
            <w:r/>
          </w:p>
        </w:tc>
        <w:tc>
          <w:tcPr>
            <w:tcW w:type="dxa" w:w="1440"/>
          </w:tcPr>
          <w:p>
            <w:pPr>
              <w:spacing w:after="20" w:line="240" w:lineRule="auto"/>
            </w:pPr>
            <w:r/>
          </w:p>
        </w:tc>
        <w:tc>
          <w:tcPr>
            <w:tcW w:type="dxa" w:w="1296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  <w:trHeight w:val="576" w:hRule="atLeast"/>
        </w:trPr>
        <w:tc>
          <w:tcPr>
            <w:tcW w:type="dxa" w:w="1728"/>
          </w:tcPr>
          <w:p>
            <w:pPr>
              <w:spacing w:after="20" w:line="240" w:lineRule="auto"/>
            </w:pPr>
            <w:r/>
          </w:p>
        </w:tc>
        <w:tc>
          <w:tcPr>
            <w:tcW w:type="dxa" w:w="2304"/>
          </w:tcPr>
          <w:p>
            <w:pPr>
              <w:spacing w:after="20" w:line="240" w:lineRule="auto"/>
            </w:pPr>
            <w:r/>
          </w:p>
        </w:tc>
        <w:tc>
          <w:tcPr>
            <w:tcW w:type="dxa" w:w="2592"/>
          </w:tcPr>
          <w:p>
            <w:pPr>
              <w:spacing w:after="20" w:line="240" w:lineRule="auto"/>
            </w:pPr>
            <w:r/>
          </w:p>
        </w:tc>
        <w:tc>
          <w:tcPr>
            <w:tcW w:type="dxa" w:w="1440"/>
          </w:tcPr>
          <w:p>
            <w:pPr>
              <w:spacing w:after="20" w:line="240" w:lineRule="auto"/>
            </w:pPr>
            <w:r/>
          </w:p>
        </w:tc>
        <w:tc>
          <w:tcPr>
            <w:tcW w:type="dxa" w:w="1296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  <w:trHeight w:val="576" w:hRule="atLeast"/>
        </w:trPr>
        <w:tc>
          <w:tcPr>
            <w:tcW w:type="dxa" w:w="1728"/>
          </w:tcPr>
          <w:p>
            <w:pPr>
              <w:spacing w:after="20" w:line="240" w:lineRule="auto"/>
            </w:pPr>
            <w:r/>
          </w:p>
        </w:tc>
        <w:tc>
          <w:tcPr>
            <w:tcW w:type="dxa" w:w="2304"/>
          </w:tcPr>
          <w:p>
            <w:pPr>
              <w:spacing w:after="20" w:line="240" w:lineRule="auto"/>
            </w:pPr>
            <w:r/>
          </w:p>
        </w:tc>
        <w:tc>
          <w:tcPr>
            <w:tcW w:type="dxa" w:w="2592"/>
          </w:tcPr>
          <w:p>
            <w:pPr>
              <w:spacing w:after="20" w:line="240" w:lineRule="auto"/>
            </w:pPr>
            <w:r/>
          </w:p>
        </w:tc>
        <w:tc>
          <w:tcPr>
            <w:tcW w:type="dxa" w:w="1440"/>
          </w:tcPr>
          <w:p>
            <w:pPr>
              <w:spacing w:after="20" w:line="240" w:lineRule="auto"/>
            </w:pPr>
            <w:r/>
          </w:p>
        </w:tc>
        <w:tc>
          <w:tcPr>
            <w:tcW w:type="dxa" w:w="1296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  <w:trHeight w:val="576" w:hRule="atLeast"/>
        </w:trPr>
        <w:tc>
          <w:tcPr>
            <w:tcW w:type="dxa" w:w="1728"/>
          </w:tcPr>
          <w:p>
            <w:pPr>
              <w:spacing w:after="20" w:line="240" w:lineRule="auto"/>
            </w:pPr>
            <w:r/>
          </w:p>
        </w:tc>
        <w:tc>
          <w:tcPr>
            <w:tcW w:type="dxa" w:w="2304"/>
          </w:tcPr>
          <w:p>
            <w:pPr>
              <w:spacing w:after="20" w:line="240" w:lineRule="auto"/>
            </w:pPr>
            <w:r/>
          </w:p>
        </w:tc>
        <w:tc>
          <w:tcPr>
            <w:tcW w:type="dxa" w:w="2592"/>
          </w:tcPr>
          <w:p>
            <w:pPr>
              <w:spacing w:after="20" w:line="240" w:lineRule="auto"/>
            </w:pPr>
            <w:r/>
          </w:p>
        </w:tc>
        <w:tc>
          <w:tcPr>
            <w:tcW w:type="dxa" w:w="1440"/>
          </w:tcPr>
          <w:p>
            <w:pPr>
              <w:spacing w:after="20" w:line="240" w:lineRule="auto"/>
            </w:pPr>
            <w:r/>
          </w:p>
        </w:tc>
        <w:tc>
          <w:tcPr>
            <w:tcW w:type="dxa" w:w="1296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  <w:trHeight w:val="576" w:hRule="atLeast"/>
        </w:trPr>
        <w:tc>
          <w:tcPr>
            <w:tcW w:type="dxa" w:w="1728"/>
          </w:tcPr>
          <w:p>
            <w:pPr>
              <w:spacing w:after="20" w:line="240" w:lineRule="auto"/>
            </w:pPr>
            <w:r/>
          </w:p>
        </w:tc>
        <w:tc>
          <w:tcPr>
            <w:tcW w:type="dxa" w:w="2304"/>
          </w:tcPr>
          <w:p>
            <w:pPr>
              <w:spacing w:after="20" w:line="240" w:lineRule="auto"/>
            </w:pPr>
            <w:r/>
          </w:p>
        </w:tc>
        <w:tc>
          <w:tcPr>
            <w:tcW w:type="dxa" w:w="2592"/>
          </w:tcPr>
          <w:p>
            <w:pPr>
              <w:spacing w:after="20" w:line="240" w:lineRule="auto"/>
            </w:pPr>
            <w:r/>
          </w:p>
        </w:tc>
        <w:tc>
          <w:tcPr>
            <w:tcW w:type="dxa" w:w="1440"/>
          </w:tcPr>
          <w:p>
            <w:pPr>
              <w:spacing w:after="20" w:line="240" w:lineRule="auto"/>
            </w:pPr>
            <w:r/>
          </w:p>
        </w:tc>
        <w:tc>
          <w:tcPr>
            <w:tcW w:type="dxa" w:w="1296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  <w:trHeight w:val="576" w:hRule="atLeast"/>
        </w:trPr>
        <w:tc>
          <w:tcPr>
            <w:tcW w:type="dxa" w:w="1728"/>
          </w:tcPr>
          <w:p>
            <w:pPr>
              <w:spacing w:after="20" w:line="240" w:lineRule="auto"/>
            </w:pPr>
            <w:r/>
          </w:p>
        </w:tc>
        <w:tc>
          <w:tcPr>
            <w:tcW w:type="dxa" w:w="2304"/>
          </w:tcPr>
          <w:p>
            <w:pPr>
              <w:spacing w:after="20" w:line="240" w:lineRule="auto"/>
            </w:pPr>
            <w:r/>
          </w:p>
        </w:tc>
        <w:tc>
          <w:tcPr>
            <w:tcW w:type="dxa" w:w="2592"/>
          </w:tcPr>
          <w:p>
            <w:pPr>
              <w:spacing w:after="20" w:line="240" w:lineRule="auto"/>
            </w:pPr>
            <w:r/>
          </w:p>
        </w:tc>
        <w:tc>
          <w:tcPr>
            <w:tcW w:type="dxa" w:w="1440"/>
          </w:tcPr>
          <w:p>
            <w:pPr>
              <w:spacing w:after="20" w:line="240" w:lineRule="auto"/>
            </w:pPr>
            <w:r/>
          </w:p>
        </w:tc>
        <w:tc>
          <w:tcPr>
            <w:tcW w:type="dxa" w:w="1296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  <w:trHeight w:val="576" w:hRule="atLeast"/>
        </w:trPr>
        <w:tc>
          <w:tcPr>
            <w:tcW w:type="dxa" w:w="1728"/>
          </w:tcPr>
          <w:p>
            <w:pPr>
              <w:spacing w:after="20" w:line="240" w:lineRule="auto"/>
            </w:pPr>
            <w:r/>
          </w:p>
        </w:tc>
        <w:tc>
          <w:tcPr>
            <w:tcW w:type="dxa" w:w="2304"/>
          </w:tcPr>
          <w:p>
            <w:pPr>
              <w:spacing w:after="20" w:line="240" w:lineRule="auto"/>
            </w:pPr>
            <w:r/>
          </w:p>
        </w:tc>
        <w:tc>
          <w:tcPr>
            <w:tcW w:type="dxa" w:w="2592"/>
          </w:tcPr>
          <w:p>
            <w:pPr>
              <w:spacing w:after="20" w:line="240" w:lineRule="auto"/>
            </w:pPr>
            <w:r/>
          </w:p>
        </w:tc>
        <w:tc>
          <w:tcPr>
            <w:tcW w:type="dxa" w:w="1440"/>
          </w:tcPr>
          <w:p>
            <w:pPr>
              <w:spacing w:after="20" w:line="240" w:lineRule="auto"/>
            </w:pPr>
            <w:r/>
          </w:p>
        </w:tc>
        <w:tc>
          <w:tcPr>
            <w:tcW w:type="dxa" w:w="1296"/>
          </w:tcPr>
          <w:p>
            <w:pPr>
              <w:spacing w:after="20" w:line="240" w:lineRule="auto"/>
            </w:pPr>
            <w:r/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pPr>
        <w:pStyle w:val="Heading3"/>
      </w:pPr>
      <w:r>
        <w:t>Discordance log — explain each disagreement before concluding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Sources that disagree</w:t>
            </w:r>
          </w:p>
        </w:tc>
        <w:tc>
          <w:tcPr>
            <w:tcW w:type="dxa" w:w="6480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Explanation (outcome definition, population, technique, time window, underreporting)</w:t>
            </w:r>
          </w:p>
        </w:tc>
      </w:tr>
      <w:tr>
        <w:trPr>
          <w:cantSplit w:val="true"/>
          <w:trHeight w:val="461" w:hRule="atLeast"/>
        </w:trPr>
        <w:tc>
          <w:tcPr>
            <w:tcW w:type="dxa" w:w="2880"/>
          </w:tcPr>
          <w:p>
            <w:pPr>
              <w:spacing w:after="20" w:line="240" w:lineRule="auto"/>
            </w:pPr>
            <w:r/>
          </w:p>
        </w:tc>
        <w:tc>
          <w:tcPr>
            <w:tcW w:type="dxa" w:w="6480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  <w:trHeight w:val="461" w:hRule="atLeast"/>
        </w:trPr>
        <w:tc>
          <w:tcPr>
            <w:tcW w:type="dxa" w:w="2880"/>
          </w:tcPr>
          <w:p>
            <w:pPr>
              <w:spacing w:after="20" w:line="240" w:lineRule="auto"/>
            </w:pPr>
            <w:r/>
          </w:p>
        </w:tc>
        <w:tc>
          <w:tcPr>
            <w:tcW w:type="dxa" w:w="6480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  <w:trHeight w:val="461" w:hRule="atLeast"/>
        </w:trPr>
        <w:tc>
          <w:tcPr>
            <w:tcW w:type="dxa" w:w="2880"/>
          </w:tcPr>
          <w:p>
            <w:pPr>
              <w:spacing w:after="20" w:line="240" w:lineRule="auto"/>
            </w:pPr>
            <w:r/>
          </w:p>
        </w:tc>
        <w:tc>
          <w:tcPr>
            <w:tcW w:type="dxa" w:w="6480"/>
          </w:tcPr>
          <w:p>
            <w:pPr>
              <w:spacing w:after="20" w:line="240" w:lineRule="auto"/>
            </w:pPr>
            <w:r/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pPr>
        <w:pStyle w:val="Heading1"/>
      </w:pPr>
      <w:r>
        <w:t>Part B — Device-causality argument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447"/>
        <w:gridCol w:w="2880"/>
        <w:gridCol w:w="2015"/>
        <w:gridCol w:w="2015"/>
      </w:tblGrid>
      <w:tr>
        <w:trPr>
          <w:tblHeader w:val="true"/>
          <w:cantSplit w:val="true"/>
        </w:trPr>
        <w:tc>
          <w:tcPr>
            <w:tcW w:type="dxa" w:w="2448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Consideration</w:t>
            </w:r>
          </w:p>
        </w:tc>
        <w:tc>
          <w:tcPr>
            <w:tcW w:type="dxa" w:w="2880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Evidence</w:t>
            </w:r>
          </w:p>
        </w:tc>
        <w:tc>
          <w:tcPr>
            <w:tcW w:type="dxa" w:w="2016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Effect on judgment (supports / weakens / neutral)</w:t>
            </w:r>
          </w:p>
        </w:tc>
        <w:tc>
          <w:tcPr>
            <w:tcW w:type="dxa" w:w="2016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Gap to close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Temporality</w:t>
            </w:r>
          </w:p>
        </w:tc>
        <w:tc>
          <w:tcPr>
            <w:tcW w:type="dxa" w:w="2880"/>
          </w:tcPr>
          <w:p>
            <w:pPr>
              <w:spacing w:after="20" w:line="240" w:lineRule="auto"/>
            </w:pPr>
            <w:r/>
          </w:p>
        </w:tc>
        <w:tc>
          <w:tcPr>
            <w:tcW w:type="dxa" w:w="2016"/>
          </w:tcPr>
          <w:p>
            <w:pPr>
              <w:spacing w:after="20" w:line="240" w:lineRule="auto"/>
            </w:pPr>
            <w:r/>
          </w:p>
        </w:tc>
        <w:tc>
          <w:tcPr>
            <w:tcW w:type="dxa" w:w="2016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</w:trPr>
        <w:tc>
          <w:tcPr>
            <w:tcW w:type="dxa" w:w="2448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Consistency</w:t>
            </w:r>
          </w:p>
        </w:tc>
        <w:tc>
          <w:tcPr>
            <w:tcW w:type="dxa" w:w="2880"/>
          </w:tcPr>
          <w:p>
            <w:pPr>
              <w:spacing w:after="20" w:line="240" w:lineRule="auto"/>
            </w:pPr>
            <w:r/>
          </w:p>
        </w:tc>
        <w:tc>
          <w:tcPr>
            <w:tcW w:type="dxa" w:w="2016"/>
          </w:tcPr>
          <w:p>
            <w:pPr>
              <w:spacing w:after="20" w:line="240" w:lineRule="auto"/>
            </w:pPr>
            <w:r/>
          </w:p>
        </w:tc>
        <w:tc>
          <w:tcPr>
            <w:tcW w:type="dxa" w:w="2016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</w:trPr>
        <w:tc>
          <w:tcPr>
            <w:tcW w:type="dxa" w:w="2448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Dose-like relationship (time in use, cycles, size, amount of substance)</w:t>
            </w:r>
          </w:p>
        </w:tc>
        <w:tc>
          <w:tcPr>
            <w:tcW w:type="dxa" w:w="2880"/>
          </w:tcPr>
          <w:p>
            <w:pPr>
              <w:spacing w:after="20" w:line="240" w:lineRule="auto"/>
            </w:pPr>
            <w:r/>
          </w:p>
        </w:tc>
        <w:tc>
          <w:tcPr>
            <w:tcW w:type="dxa" w:w="2016"/>
          </w:tcPr>
          <w:p>
            <w:pPr>
              <w:spacing w:after="20" w:line="240" w:lineRule="auto"/>
            </w:pPr>
            <w:r/>
          </w:p>
        </w:tc>
        <w:tc>
          <w:tcPr>
            <w:tcW w:type="dxa" w:w="2016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</w:trPr>
        <w:tc>
          <w:tcPr>
            <w:tcW w:type="dxa" w:w="2448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Removal or replacement response</w:t>
            </w:r>
          </w:p>
        </w:tc>
        <w:tc>
          <w:tcPr>
            <w:tcW w:type="dxa" w:w="2880"/>
          </w:tcPr>
          <w:p>
            <w:pPr>
              <w:spacing w:after="20" w:line="240" w:lineRule="auto"/>
            </w:pPr>
            <w:r/>
          </w:p>
        </w:tc>
        <w:tc>
          <w:tcPr>
            <w:tcW w:type="dxa" w:w="2016"/>
          </w:tcPr>
          <w:p>
            <w:pPr>
              <w:spacing w:after="20" w:line="240" w:lineRule="auto"/>
            </w:pPr>
            <w:r/>
          </w:p>
        </w:tc>
        <w:tc>
          <w:tcPr>
            <w:tcW w:type="dxa" w:w="2016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</w:trPr>
        <w:tc>
          <w:tcPr>
            <w:tcW w:type="dxa" w:w="2448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Bench reproduction</w:t>
            </w:r>
          </w:p>
        </w:tc>
        <w:tc>
          <w:tcPr>
            <w:tcW w:type="dxa" w:w="2880"/>
          </w:tcPr>
          <w:p>
            <w:pPr>
              <w:spacing w:after="20" w:line="240" w:lineRule="auto"/>
            </w:pPr>
            <w:r/>
          </w:p>
        </w:tc>
        <w:tc>
          <w:tcPr>
            <w:tcW w:type="dxa" w:w="2016"/>
          </w:tcPr>
          <w:p>
            <w:pPr>
              <w:spacing w:after="20" w:line="240" w:lineRule="auto"/>
            </w:pPr>
            <w:r/>
          </w:p>
        </w:tc>
        <w:tc>
          <w:tcPr>
            <w:tcW w:type="dxa" w:w="2016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</w:trPr>
        <w:tc>
          <w:tcPr>
            <w:tcW w:type="dxa" w:w="2448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Plausibility (mechanism)</w:t>
            </w:r>
          </w:p>
        </w:tc>
        <w:tc>
          <w:tcPr>
            <w:tcW w:type="dxa" w:w="2880"/>
          </w:tcPr>
          <w:p>
            <w:pPr>
              <w:spacing w:after="20" w:line="240" w:lineRule="auto"/>
            </w:pPr>
            <w:r/>
          </w:p>
        </w:tc>
        <w:tc>
          <w:tcPr>
            <w:tcW w:type="dxa" w:w="2016"/>
          </w:tcPr>
          <w:p>
            <w:pPr>
              <w:spacing w:after="20" w:line="240" w:lineRule="auto"/>
            </w:pPr>
            <w:r/>
          </w:p>
        </w:tc>
        <w:tc>
          <w:tcPr>
            <w:tcW w:type="dxa" w:w="2016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</w:trPr>
        <w:tc>
          <w:tcPr>
            <w:tcW w:type="dxa" w:w="2448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Evidence from similar devices</w:t>
            </w:r>
          </w:p>
        </w:tc>
        <w:tc>
          <w:tcPr>
            <w:tcW w:type="dxa" w:w="2880"/>
          </w:tcPr>
          <w:p>
            <w:pPr>
              <w:spacing w:after="20" w:line="240" w:lineRule="auto"/>
            </w:pPr>
            <w:r/>
          </w:p>
        </w:tc>
        <w:tc>
          <w:tcPr>
            <w:tcW w:type="dxa" w:w="2016"/>
          </w:tcPr>
          <w:p>
            <w:pPr>
              <w:spacing w:after="20" w:line="240" w:lineRule="auto"/>
            </w:pPr>
            <w:r/>
          </w:p>
        </w:tc>
        <w:tc>
          <w:tcPr>
            <w:tcW w:type="dxa" w:w="2016"/>
          </w:tcPr>
          <w:p>
            <w:pPr>
              <w:spacing w:after="20" w:line="240" w:lineRule="auto"/>
            </w:pPr>
            <w:r/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rPr>
          <w:b w:val="0"/>
          <w:i/>
          <w:color w:val="595959"/>
          <w:sz w:val="18"/>
        </w:rPr>
        <w:t>When a row says "neutral", write down why. A blank row and a neutral row mean different things to an auditor. No single consideration is required, and none is enough alone.</w:t>
      </w:r>
    </w:p>
    <w:p>
      <w:pPr>
        <w:pStyle w:val="Heading1"/>
      </w:pPr>
      <w:r>
        <w:t>Part C — Conclusion (four parts, in order)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3744"/>
        <w:gridCol w:w="5616"/>
      </w:tblGrid>
      <w:tr>
        <w:trPr>
          <w:cantSplit w:val="true"/>
          <w:trHeight w:val="864" w:hRule="atLeast"/>
        </w:trPr>
        <w:tc>
          <w:tcPr>
            <w:tcW w:type="dxa" w:w="3744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1. What the evidence supports (confirmed / refuted / indeterminate; graded causal judgment)</w:t>
            </w:r>
          </w:p>
        </w:tc>
        <w:tc>
          <w:tcPr>
            <w:tcW w:type="dxa" w:w="5616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  <w:trHeight w:val="864" w:hRule="atLeast"/>
        </w:trPr>
        <w:tc>
          <w:tcPr>
            <w:tcW w:type="dxa" w:w="3744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2. What remains uncertain, and the evidence that would reduce it</w:t>
            </w:r>
          </w:p>
        </w:tc>
        <w:tc>
          <w:tcPr>
            <w:tcW w:type="dxa" w:w="5616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  <w:trHeight w:val="864" w:hRule="atLeast"/>
        </w:trPr>
        <w:tc>
          <w:tcPr>
            <w:tcW w:type="dxa" w:w="3744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3. Effect on the risk management file (new hazardous situation, changed probability or severity) — RMF reference</w:t>
            </w:r>
          </w:p>
        </w:tc>
        <w:tc>
          <w:tcPr>
            <w:tcW w:type="dxa" w:w="5616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  <w:trHeight w:val="864" w:hRule="atLeast"/>
        </w:trPr>
        <w:tc>
          <w:tcPr>
            <w:tcW w:type="dxa" w:w="3744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4. Action that follows — linked action numbers</w:t>
            </w:r>
          </w:p>
        </w:tc>
        <w:tc>
          <w:tcPr>
            <w:tcW w:type="dxa" w:w="5616"/>
          </w:tcPr>
          <w:p>
            <w:pPr>
              <w:spacing w:after="20" w:line="240" w:lineRule="auto"/>
            </w:pPr>
            <w:r/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pPr>
        <w:pStyle w:val="Heading3"/>
      </w:pPr>
      <w:r>
        <w:t>Sign-off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3168"/>
        <w:gridCol w:w="2592"/>
        <w:gridCol w:w="2304"/>
        <w:gridCol w:w="1296"/>
      </w:tblGrid>
      <w:tr>
        <w:trPr>
          <w:tblHeader w:val="true"/>
          <w:cantSplit w:val="true"/>
        </w:trPr>
        <w:tc>
          <w:tcPr>
            <w:tcW w:type="dxa" w:w="3168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592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04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1296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rPr>
          <w:cantSplit w:val="true"/>
        </w:trPr>
        <w:tc>
          <w:tcPr>
            <w:tcW w:type="dxa" w:w="3168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Signal owner</w:t>
            </w:r>
          </w:p>
        </w:tc>
        <w:tc>
          <w:tcPr>
            <w:tcW w:type="dxa" w:w="2592"/>
          </w:tcPr>
          <w:p>
            <w:pPr>
              <w:spacing w:after="20" w:line="240" w:lineRule="auto"/>
            </w:pPr>
            <w:r/>
          </w:p>
        </w:tc>
        <w:tc>
          <w:tcPr>
            <w:tcW w:type="dxa" w:w="2304"/>
          </w:tcPr>
          <w:p>
            <w:pPr>
              <w:spacing w:after="20" w:line="240" w:lineRule="auto"/>
            </w:pPr>
            <w:r/>
          </w:p>
        </w:tc>
        <w:tc>
          <w:tcPr>
            <w:tcW w:type="dxa" w:w="1296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</w:trPr>
        <w:tc>
          <w:tcPr>
            <w:tcW w:type="dxa" w:w="3168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Clinical lead</w:t>
            </w:r>
          </w:p>
        </w:tc>
        <w:tc>
          <w:tcPr>
            <w:tcW w:type="dxa" w:w="2592"/>
          </w:tcPr>
          <w:p>
            <w:pPr>
              <w:spacing w:after="20" w:line="240" w:lineRule="auto"/>
            </w:pPr>
            <w:r/>
          </w:p>
        </w:tc>
        <w:tc>
          <w:tcPr>
            <w:tcW w:type="dxa" w:w="2304"/>
          </w:tcPr>
          <w:p>
            <w:pPr>
              <w:spacing w:after="20" w:line="240" w:lineRule="auto"/>
            </w:pPr>
            <w:r/>
          </w:p>
        </w:tc>
        <w:tc>
          <w:tcPr>
            <w:tcW w:type="dxa" w:w="1296"/>
          </w:tcPr>
          <w:p>
            <w:pPr>
              <w:spacing w:after="20" w:line="240" w:lineRule="auto"/>
            </w:pPr>
            <w:r/>
          </w:p>
        </w:tc>
      </w:tr>
      <w:tr>
        <w:trPr>
          <w:cantSplit w:val="true"/>
        </w:trPr>
        <w:tc>
          <w:tcPr>
            <w:tcW w:type="dxa" w:w="3168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Engineering lead</w:t>
            </w:r>
          </w:p>
        </w:tc>
        <w:tc>
          <w:tcPr>
            <w:tcW w:type="dxa" w:w="2592"/>
          </w:tcPr>
          <w:p>
            <w:pPr>
              <w:spacing w:after="20" w:line="240" w:lineRule="auto"/>
            </w:pPr>
            <w:r/>
          </w:p>
        </w:tc>
        <w:tc>
          <w:tcPr>
            <w:tcW w:type="dxa" w:w="2304"/>
          </w:tcPr>
          <w:p>
            <w:pPr>
              <w:spacing w:after="20" w:line="240" w:lineRule="auto"/>
            </w:pPr>
            <w:r/>
          </w:p>
        </w:tc>
        <w:tc>
          <w:tcPr>
            <w:tcW w:type="dxa" w:w="1296"/>
          </w:tcPr>
          <w:p>
            <w:pPr>
              <w:spacing w:after="20" w:line="240" w:lineRule="auto"/>
            </w:pPr>
            <w:r/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pPr>
        <w:pStyle w:val="Heading1"/>
        <w:pageBreakBefore/>
      </w:pPr>
      <w:r>
        <w:t>Example (fictional case)</w:t>
      </w:r>
    </w:p>
    <w:p>
      <w:r>
        <w:rPr>
          <w:b w:val="0"/>
          <w:i/>
          <w:color w:val="595959"/>
          <w:sz w:val="18"/>
        </w:rPr>
        <w:t>All names, numbers and events below are fictional composites from the book's case dossiers. They show the expected level of detail, not a regulatory standard. Calvenox calcium sulfate bone void filler pre-loaded with AGX-3 (combination product), data cut Year 3, month 6.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728"/>
        <w:gridCol w:w="2304"/>
        <w:gridCol w:w="2592"/>
        <w:gridCol w:w="1440"/>
        <w:gridCol w:w="1296"/>
      </w:tblGrid>
      <w:tr>
        <w:trPr>
          <w:tblHeader w:val="true"/>
          <w:cantSplit w:val="true"/>
        </w:trPr>
        <w:tc>
          <w:tcPr>
            <w:tcW w:type="dxa" w:w="1728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304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2592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Strength and limitation</w:t>
            </w:r>
          </w:p>
        </w:tc>
        <w:tc>
          <w:tcPr>
            <w:tcW w:type="dxa" w:w="1440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Direction</w:t>
            </w:r>
          </w:p>
        </w:tc>
        <w:tc>
          <w:tcPr>
            <w:tcW w:type="dxa" w:w="1296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rPr>
          <w:cantSplit w:val="true"/>
        </w:trPr>
        <w:tc>
          <w:tcPr>
            <w:tcW w:type="dxa" w:w="1728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Complaints (19)</w:t>
            </w:r>
          </w:p>
        </w:tc>
        <w:tc>
          <w:tcPr>
            <w:tcW w:type="dxa" w:w="2304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Onset 2–14 days; 12 above 20 mL; 4 toxic serum levels</w:t>
            </w:r>
          </w:p>
        </w:tc>
        <w:tc>
          <w:tcPr>
            <w:tcW w:type="dxa" w:w="2592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Timing and levels informative; no denominator by volume</w:t>
            </w:r>
          </w:p>
        </w:tc>
        <w:tc>
          <w:tcPr>
            <w:tcW w:type="dxa" w:w="1440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Supports</w:t>
            </w:r>
          </w:p>
        </w:tc>
        <w:tc>
          <w:tcPr>
            <w:tcW w:type="dxa" w:w="1296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Moderate</w:t>
            </w:r>
          </w:p>
        </w:tc>
      </w:tr>
      <w:tr>
        <w:trPr>
          <w:cantSplit w:val="true"/>
        </w:trPr>
        <w:tc>
          <w:tcPr>
            <w:tcW w:type="dxa" w:w="1728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PMCF (7 of 210)</w:t>
            </w:r>
          </w:p>
        </w:tc>
        <w:tc>
          <w:tcPr>
            <w:tcW w:type="dxa" w:w="2304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3.3% (1.6–6.7) in on-label use</w:t>
            </w:r>
          </w:p>
        </w:tc>
        <w:tc>
          <w:tcPr>
            <w:tcW w:type="dxa" w:w="2592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Active case finding; small; external comparator</w:t>
            </w:r>
          </w:p>
        </w:tc>
        <w:tc>
          <w:tcPr>
            <w:tcW w:type="dxa" w:w="1440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Supports, on-label too</w:t>
            </w:r>
          </w:p>
        </w:tc>
        <w:tc>
          <w:tcPr>
            <w:tcW w:type="dxa" w:w="1296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High for on-label incidence</w:t>
            </w:r>
          </w:p>
        </w:tc>
      </w:tr>
      <w:tr>
        <w:trPr>
          <w:cantSplit w:val="true"/>
        </w:trPr>
        <w:tc>
          <w:tcPr>
            <w:tcW w:type="dxa" w:w="1728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Literature</w:t>
            </w:r>
          </w:p>
        </w:tc>
        <w:tc>
          <w:tcPr>
            <w:tcW w:type="dxa" w:w="2304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About 1% without a local antibiotic carrier</w:t>
            </w:r>
          </w:p>
        </w:tc>
        <w:tc>
          <w:tcPr>
            <w:tcW w:type="dxa" w:w="2592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Different populations and AKI definitions</w:t>
            </w:r>
          </w:p>
        </w:tc>
        <w:tc>
          <w:tcPr>
            <w:tcW w:type="dxa" w:w="1440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Sets comparator</w:t>
            </w:r>
          </w:p>
        </w:tc>
        <w:tc>
          <w:tcPr>
            <w:tcW w:type="dxa" w:w="1296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Moderate</w:t>
            </w:r>
          </w:p>
        </w:tc>
      </w:tr>
      <w:tr>
        <w:trPr>
          <w:cantSplit w:val="true"/>
        </w:trPr>
        <w:tc>
          <w:tcPr>
            <w:tcW w:type="dxa" w:w="1728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Bone infection registry</w:t>
            </w:r>
          </w:p>
        </w:tc>
        <w:tc>
          <w:tcPr>
            <w:tcW w:type="dxa" w:w="2304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Weak signal</w:t>
            </w:r>
          </w:p>
        </w:tc>
        <w:tc>
          <w:tcPr>
            <w:tcW w:type="dxa" w:w="2592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Outcome is reinfection or reoperation; misses medically managed AKI</w:t>
            </w:r>
          </w:p>
        </w:tc>
        <w:tc>
          <w:tcPr>
            <w:tcW w:type="dxa" w:w="1440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Neutral</w:t>
            </w:r>
          </w:p>
        </w:tc>
        <w:tc>
          <w:tcPr>
            <w:tcW w:type="dxa" w:w="1296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Low</w:t>
            </w:r>
          </w:p>
        </w:tc>
      </w:tr>
      <w:tr>
        <w:trPr>
          <w:cantSplit w:val="true"/>
        </w:trPr>
        <w:tc>
          <w:tcPr>
            <w:tcW w:type="dxa" w:w="1728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Engineering</w:t>
            </w:r>
          </w:p>
        </w:tc>
        <w:tc>
          <w:tcPr>
            <w:tcW w:type="dxa" w:w="2304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No carrier failure</w:t>
            </w:r>
          </w:p>
        </w:tc>
        <w:tc>
          <w:tcPr>
            <w:tcW w:type="dxa" w:w="2592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Excludes a device defect</w:t>
            </w:r>
          </w:p>
        </w:tc>
        <w:tc>
          <w:tcPr>
            <w:tcW w:type="dxa" w:w="1440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Relocates the cause</w:t>
            </w:r>
          </w:p>
        </w:tc>
        <w:tc>
          <w:tcPr>
            <w:tcW w:type="dxa" w:w="1296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High for that point</w:t>
            </w:r>
          </w:p>
        </w:tc>
      </w:tr>
      <w:tr>
        <w:trPr>
          <w:cantSplit w:val="true"/>
        </w:trPr>
        <w:tc>
          <w:tcPr>
            <w:tcW w:type="dxa" w:w="1728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Mechanism</w:t>
            </w:r>
          </w:p>
        </w:tc>
        <w:tc>
          <w:tcPr>
            <w:tcW w:type="dxa" w:w="2304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Systemic absorption proportional to volume</w:t>
            </w:r>
          </w:p>
        </w:tc>
        <w:tc>
          <w:tcPr>
            <w:tcW w:type="dxa" w:w="2592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Fits timing and serum levels</w:t>
            </w:r>
          </w:p>
        </w:tc>
        <w:tc>
          <w:tcPr>
            <w:tcW w:type="dxa" w:w="1440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Supports</w:t>
            </w:r>
          </w:p>
        </w:tc>
        <w:tc>
          <w:tcPr>
            <w:tcW w:type="dxa" w:w="1296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Moderate</w:t>
            </w:r>
          </w:p>
        </w:tc>
      </w:tr>
    </w:tbl>
    <w:p>
      <w:pPr>
        <w:spacing w:after="160"/>
      </w:pPr>
      <w:r>
        <w:rPr>
          <w:i/>
          <w:color w:val="595959"/>
          <w:sz w:val="17"/>
        </w:rPr>
        <w:t>Table 17.1 — Calvenox evidence table, data cut Year 3, month 6 (Part A, illustrative).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160"/>
        <w:gridCol w:w="3456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2160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Consideration</w:t>
            </w:r>
          </w:p>
        </w:tc>
        <w:tc>
          <w:tcPr>
            <w:tcW w:type="dxa" w:w="3456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Calvenox evidence</w:t>
            </w:r>
          </w:p>
        </w:tc>
        <w:tc>
          <w:tcPr>
            <w:tcW w:type="dxa" w:w="1872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Effect on judgment</w:t>
            </w:r>
          </w:p>
        </w:tc>
        <w:tc>
          <w:tcPr>
            <w:tcW w:type="dxa" w:w="1872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Gap to close</w:t>
            </w:r>
          </w:p>
        </w:tc>
      </w:tr>
      <w:tr>
        <w:trPr>
          <w:cantSplit w:val="true"/>
        </w:trPr>
        <w:tc>
          <w:tcPr>
            <w:tcW w:type="dxa" w:w="2160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Temporality</w:t>
            </w:r>
          </w:p>
        </w:tc>
        <w:tc>
          <w:tcPr>
            <w:tcW w:type="dxa" w:w="3456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Onset median 5 days (2–14)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Supports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None</w:t>
            </w:r>
          </w:p>
        </w:tc>
      </w:tr>
      <w:tr>
        <w:trPr>
          <w:cantSplit w:val="true"/>
        </w:trPr>
        <w:tc>
          <w:tcPr>
            <w:tcW w:type="dxa" w:w="2160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Consistency</w:t>
            </w:r>
          </w:p>
        </w:tc>
        <w:tc>
          <w:tcPr>
            <w:tcW w:type="dxa" w:w="3456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Complaints, PMCF and mechanism agree; registry explained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Supports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Standard AKI definition in PMCF</w:t>
            </w:r>
          </w:p>
        </w:tc>
      </w:tr>
      <w:tr>
        <w:trPr>
          <w:cantSplit w:val="true"/>
        </w:trPr>
        <w:tc>
          <w:tcPr>
            <w:tcW w:type="dxa" w:w="2160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Dose-like relationship</w:t>
            </w:r>
          </w:p>
        </w:tc>
        <w:tc>
          <w:tcPr>
            <w:tcW w:type="dxa" w:w="3456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Fills above 20 mL or across several sites dominate reports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Supports, not quantified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Volume-specific denominator</w:t>
            </w:r>
          </w:p>
        </w:tc>
      </w:tr>
      <w:tr>
        <w:trPr>
          <w:cantSplit w:val="true"/>
        </w:trPr>
        <w:tc>
          <w:tcPr>
            <w:tcW w:type="dxa" w:w="2160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Removal or replacement</w:t>
            </w:r>
          </w:p>
        </w:tc>
        <w:tc>
          <w:tcPr>
            <w:tcW w:type="dxa" w:w="3456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Carrier resorbs and cannot be removed; renal recovery after the drug clears is consistent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Weakly supports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Renal follow-up in PMCF</w:t>
            </w:r>
          </w:p>
        </w:tc>
      </w:tr>
      <w:tr>
        <w:trPr>
          <w:cantSplit w:val="true"/>
        </w:trPr>
        <w:tc>
          <w:tcPr>
            <w:tcW w:type="dxa" w:w="2160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Reproduction and plausibility</w:t>
            </w:r>
          </w:p>
        </w:tc>
        <w:tc>
          <w:tcPr>
            <w:tcW w:type="dxa" w:w="3456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No carrier failure; toxic serum level in 4 of 19; aminoglycoside nephrotoxicity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Supports a constituent cause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Serum levels and creatinine in PMCF</w:t>
            </w:r>
          </w:p>
        </w:tc>
      </w:tr>
    </w:tbl>
    <w:p>
      <w:pPr>
        <w:spacing w:after="160"/>
      </w:pPr>
      <w:r>
        <w:rPr>
          <w:i/>
          <w:color w:val="595959"/>
          <w:sz w:val="17"/>
        </w:rPr>
        <w:t>Table 17.2 — T-15 Part B, device-causality argument for Calvenox (illustrative).</w:t>
      </w:r>
    </w:p>
    <w:tbl>
      <w:tblPr>
        <w:tblW w:type="dxa" w:w="9360"/>
        <w:jc w:val="center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736"/>
        <w:gridCol w:w="6623"/>
      </w:tblGrid>
      <w:tr>
        <w:trPr>
          <w:tblHeader w:val="true"/>
          <w:cantSplit w:val="true"/>
        </w:trPr>
        <w:tc>
          <w:tcPr>
            <w:tcW w:type="dxa" w:w="2736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Part C</w:t>
            </w:r>
          </w:p>
        </w:tc>
        <w:tc>
          <w:tcPr>
            <w:tcW w:type="dxa" w:w="6624"/>
            <w:shd w:val="clear" w:color="auto" w:fill="17375E"/>
            <w:vAlign w:val="center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color w:val="FFFFFF"/>
                <w:sz w:val="18"/>
              </w:rPr>
              <w:t>Calvenox entry</w:t>
            </w:r>
          </w:p>
        </w:tc>
      </w:tr>
      <w:tr>
        <w:trPr>
          <w:cantSplit w:val="true"/>
        </w:trPr>
        <w:tc>
          <w:tcPr>
            <w:tcW w:type="dxa" w:w="2736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1. What the evidence supports</w:t>
            </w:r>
          </w:p>
        </w:tc>
        <w:tc>
          <w:tcPr>
            <w:tcW w:type="dxa" w:w="6624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Signal confirmed. Probable causal association between AGX-3 delivered with Calvenox and postoperative acute kidney injury (AKI); strongest with off-label high-volume or multi-site use; some excess also with on-label use.</w:t>
            </w:r>
          </w:p>
        </w:tc>
      </w:tr>
      <w:tr>
        <w:trPr>
          <w:cantSplit w:val="true"/>
        </w:trPr>
        <w:tc>
          <w:tcPr>
            <w:tcW w:type="dxa" w:w="2736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2. What remains uncertain</w:t>
            </w:r>
          </w:p>
        </w:tc>
        <w:tc>
          <w:tcPr>
            <w:tcW w:type="dxa" w:w="6624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The size of the on-label excess and the true rate by volume.</w:t>
            </w:r>
          </w:p>
        </w:tc>
      </w:tr>
      <w:tr>
        <w:trPr>
          <w:cantSplit w:val="true"/>
        </w:trPr>
        <w:tc>
          <w:tcPr>
            <w:tcW w:type="dxa" w:w="2736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3. Effect on the risk management file</w:t>
            </w:r>
          </w:p>
        </w:tc>
        <w:tc>
          <w:tcPr>
            <w:tcW w:type="dxa" w:w="6624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New hazardous situation (systemic AGX-3 exposure from a fill above the labeled volume); re-estimated probability for on-label use.</w:t>
            </w:r>
          </w:p>
        </w:tc>
      </w:tr>
      <w:tr>
        <w:trPr>
          <w:cantSplit w:val="true"/>
        </w:trPr>
        <w:tc>
          <w:tcPr>
            <w:tcW w:type="dxa" w:w="2736"/>
            <w:shd w:val="clear" w:color="auto" w:fill="DCE6F1"/>
          </w:tcPr>
          <w:p>
            <w:pPr>
              <w:spacing w:after="20" w:line="240" w:lineRule="auto"/>
            </w:pPr>
            <w:r>
              <w:rPr>
                <w:b/>
              </w:rPr>
            </w:r>
            <w:r>
              <w:rPr>
                <w:b/>
                <w:sz w:val="18"/>
              </w:rPr>
              <w:t>4. Action that follows</w:t>
            </w:r>
          </w:p>
        </w:tc>
        <w:tc>
          <w:tcPr>
            <w:tcW w:type="dxa" w:w="6624"/>
          </w:tcPr>
          <w:p>
            <w:pPr>
              <w:spacing w:after="20" w:line="240" w:lineRule="auto"/>
            </w:pPr>
            <w:r/>
            <w:r>
              <w:rPr>
                <w:b w:val="0"/>
                <w:sz w:val="18"/>
              </w:rPr>
              <w:t>IFU warning and contraindication for fill volumes above 20 mL and for multi-site use; surgeon communication; PMCF amendment adding a standard AKI definition (KDIGO type) and renal function monitoring; report, through the notified body, to the medicines authority consulted on the ancillary substance (MDR Article 1(8), Annex IX section 5.2).</w:t>
            </w:r>
          </w:p>
        </w:tc>
      </w:tr>
    </w:tbl>
    <w:p>
      <w:pPr>
        <w:spacing w:after="160"/>
      </w:pPr>
      <w:r>
        <w:rPr>
          <w:i/>
          <w:color w:val="595959"/>
          <w:sz w:val="17"/>
        </w:rPr>
        <w:t>Part C summarized from Chapter 17, Step 8. Drug-constituent events are coded in MedDRA and the device aspects in IMDRF terms.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648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1" w:color="A6A6A6"/>
      </w:pBdr>
    </w:pPr>
    <w:r/>
    <w:r>
      <w:rPr>
        <w:i/>
        <w:color w:val="595959"/>
        <w:sz w:val="16"/>
      </w:rPr>
      <w:t>Educational template — adapt to your quality system. Not a regulatory requirement.</w:t>
    </w:r>
  </w:p>
  <w:p>
    <w:r>
      <w:rPr>
        <w:color w:val="595959"/>
        <w:sz w:val="16"/>
      </w:rPr>
      <w:t xml:space="preserve">© 2026 Selim Medical Press · Tool T-15 · Page </w:t>
    </w:r>
    <w:r>
      <w:rPr>
        <w:color w:val="595959"/>
        <w:sz w:val="16"/>
      </w:rPr>
    </w:r>
    <w:r>
      <w:rPr>
        <w:color w:val="595959"/>
        <w:sz w:val="16"/>
      </w:rPr>
      <w:fldChar w:fldCharType="begin"/>
    </w:r>
    <w:r>
      <w:rPr>
        <w:color w:val="595959"/>
        <w:sz w:val="16"/>
      </w:rPr>
      <w:instrText xml:space="preserve"> PAGE </w:instrText>
    </w:r>
    <w:r>
      <w:rPr>
        <w:color w:val="595959"/>
        <w:sz w:val="16"/>
      </w:rPr>
      <w:fldChar w:fldCharType="separate"/>
    </w:r>
    <w:r>
      <w:rPr>
        <w:color w:val="595959"/>
        <w:sz w:val="16"/>
      </w:rPr>
      <w:t>1</w:t>
    </w:r>
    <w:r>
      <w:rPr>
        <w:color w:val="595959"/>
        <w:sz w:val="16"/>
      </w:rPr>
      <w:fldChar w:fldCharType="end"/>
    </w:r>
    <w:r>
      <w:rPr>
        <w:color w:val="595959"/>
        <w:sz w:val="16"/>
      </w:rPr>
      <w:t xml:space="preserve"> of </w:t>
    </w:r>
    <w:r>
      <w:rPr>
        <w:color w:val="595959"/>
        <w:sz w:val="16"/>
      </w:rPr>
    </w:r>
    <w:r>
      <w:rPr>
        <w:color w:val="595959"/>
        <w:sz w:val="16"/>
      </w:rPr>
      <w:fldChar w:fldCharType="begin"/>
    </w:r>
    <w:r>
      <w:rPr>
        <w:color w:val="595959"/>
        <w:sz w:val="16"/>
      </w:rPr>
      <w:instrText xml:space="preserve"> NUMPAGES </w:instrText>
    </w:r>
    <w:r>
      <w:rPr>
        <w:color w:val="595959"/>
        <w:sz w:val="16"/>
      </w:rPr>
      <w:fldChar w:fldCharType="separate"/>
    </w:r>
    <w:r>
      <w:rPr>
        <w:color w:val="595959"/>
        <w:sz w:val="16"/>
      </w:rPr>
      <w:t>1</w:t>
    </w:r>
    <w:r>
      <w:rPr>
        <w:color w:val="595959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A6A6A6"/>
      </w:pBdr>
    </w:pPr>
    <w:r/>
    <w:r>
      <w:rPr>
        <w:rFonts w:ascii="Calibri" w:hAnsi="Calibri"/>
        <w:color w:val="595959"/>
        <w:sz w:val="17"/>
      </w:rPr>
      <w:t>Selim Medical Press · Signal Management in Medical Device Vigilance · Tool T-15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Cambria" w:hAnsi="Cambria" w:cs="Cambria" w:eastAsia="Cambria"/>
      <w:b/>
      <w:bCs/>
      <w:color w:val="17375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="Cambria" w:hAnsi="Cambria" w:cs="Cambria" w:eastAsia="Cambria"/>
      <w:b/>
      <w:bCs/>
      <w:color w:val="17375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Cambria" w:hAnsi="Cambria" w:cs="Cambria" w:eastAsia="Cambria"/>
      <w:b/>
      <w:bCs/>
      <w:color w:val="17375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40" w:line="240" w:lineRule="auto"/>
      <w:contextualSpacing/>
    </w:pPr>
    <w:rPr>
      <w:rFonts w:ascii="Cambria" w:hAnsi="Cambria" w:cs="Cambria" w:eastAsia="Cambria"/>
      <w:b/>
      <w:color w:val="17375E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 w:eastAsia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 w:eastAsia="Calibr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Tool T-15 — Totality-of-Evidence and Device-Causality Template</dc:title>
  <dc:subject>Signal Management in Medical Device Vigilance — companion toolkit</dc:subject>
  <dc:creator>Dr. Hafez Selim, MD, PhD</dc:creator>
  <cp:keywords>device vigilance; signal management; toolkit</cp:keywords>
  <dc:description>Selim Medical Press © 2026. Educational template.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