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7375E"/>
          <w:sz w:val="18"/>
        </w:rPr>
        <w:t>COMPANION TOOLKIT · TOOL T-1</w:t>
      </w:r>
    </w:p>
    <w:p>
      <w:pPr>
        <w:pStyle w:val="Title"/>
      </w:pPr>
      <w:r>
        <w:t>Device Signal-Management SOP Outline and RACI</w:t>
      </w:r>
    </w:p>
    <w:p>
      <w:r>
        <w:rPr>
          <w:i/>
          <w:color w:val="595959"/>
          <w:sz w:val="21"/>
        </w:rPr>
        <w:t>Structure for a controlled signal-management procedure, with a RACI aligned with ISO 13485 processes</w:t>
      </w:r>
    </w:p>
    <w:p>
      <w:pPr>
        <w:pBdr>
          <w:bottom w:val="single" w:sz="6" w:space="1" w:color="17375E"/>
        </w:pBdr>
        <w:spacing w:after="160"/>
      </w:pPr>
      <w:r>
        <w:rPr>
          <w:color w:val="595959"/>
          <w:sz w:val="17"/>
        </w:rPr>
        <w:t>Signal Management in Medical Device Vigilance · Dr. Hafez Selim, MD, PhD · Selim Medical Press · © 2026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160"/>
        <w:gridCol w:w="720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Purpose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Gives the section structure for a controlled device signal-management procedure and a RACI that assigns one accountable owner to each step, so that a question raised in complaints, CAPA or risk management cannot leak between processes.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When to use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When writing or revising the signal-management SOP; when a CAPA, complaint or risk-file review shows that nobody owned the whole question; before a quality-system audit.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color w:val="17375E"/>
              </w:rPr>
              <w:t>Chapter reference</w:t>
            </w:r>
          </w:p>
        </w:tc>
        <w:tc>
          <w:tcPr>
            <w:tcW w:type="dxa" w:w="7200"/>
          </w:tcPr>
          <w:p>
            <w:pPr>
              <w:spacing w:after="20" w:line="240" w:lineRule="auto"/>
            </w:pPr>
            <w:r/>
            <w:r>
              <w:rPr>
                <w:b w:val="0"/>
              </w:rPr>
              <w:t>Chapter 4, Building the Signal System Inside the Quality System — section 4.5 (Tables 4.3 and 4.4).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Document control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04"/>
        <w:gridCol w:w="2376"/>
        <w:gridCol w:w="2304"/>
        <w:gridCol w:w="2376"/>
      </w:tblGrid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SOP number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Owner (function)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Effective date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Next review due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  <w:tr>
        <w:trPr>
          <w:trHeight w:val="432" w:hRule="atLeast"/>
        </w:trPr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Devices / markets in scope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Related SOPs (complaints, CAPA, risk, vigilance reporting)</w:t>
            </w:r>
          </w:p>
        </w:tc>
        <w:tc>
          <w:tcPr>
            <w:tcW w:type="dxa" w:w="237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</w:pPr>
      <w:r>
        <w:t>Part A — SOP outline</w:t>
      </w:r>
    </w:p>
    <w:p>
      <w:r>
        <w:rPr>
          <w:b w:val="0"/>
        </w:rPr>
        <w:t>Use the twelve sections below. The last column records where each element sits in your own procedure. Both parts are examples to adapt, not regulatory templates.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95"/>
        <w:gridCol w:w="2794"/>
        <w:gridCol w:w="1816"/>
        <w:gridCol w:w="1536"/>
        <w:gridCol w:w="1117"/>
      </w:tblGrid>
      <w:tr>
        <w:trPr>
          <w:tblHeader w:val="true"/>
          <w:cantSplit w:val="true"/>
        </w:trPr>
        <w:tc>
          <w:tcPr>
            <w:tcW w:type="dxa" w:w="20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SOP section</w:t>
            </w:r>
          </w:p>
        </w:tc>
        <w:tc>
          <w:tcPr>
            <w:tcW w:type="dxa" w:w="279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81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Key record</w:t>
            </w:r>
          </w:p>
        </w:tc>
        <w:tc>
          <w:tcPr>
            <w:tcW w:type="dxa" w:w="153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Your SOP section / record ID</w:t>
            </w:r>
          </w:p>
        </w:tc>
        <w:tc>
          <w:tcPr>
            <w:tcW w:type="dxa" w:w="111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1. Purpose and scope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Devices, markets and sources covered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2. Definitions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Controlled terms from Chapter 2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Glossary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3. Roles and governance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Owners, review board, links to CAPA board and risk team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RACI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4. Detection and intake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Sources, screening methods, route for non-complaint information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Data-source inventory (Tool T-2)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5. Opening a signal record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Criteria, required fields, scope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Signal record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6. Validation and prioritization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Criteria and timelines set by the company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Validation memo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7. Assessment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Protocol, clinical and engineering review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Assessment report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8. Decision and action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Review board authority, escalation, links to CAPA and FSCA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Decision minutes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9. Risk file and document updates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Inputs to ISO 14971 clause 10 review; PMS deliverables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Risk file update record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10. Closure and reopening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Conclusion categories, rationale, reopening criteria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Closure memo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11. Urgent escalation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Same-day route for serious clustered events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Escalation log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096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12. Metrics and review</w:t>
            </w:r>
          </w:p>
        </w:tc>
        <w:tc>
          <w:tcPr>
            <w:tcW w:type="dxa" w:w="2794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Paired speed and quality metrics</w:t>
            </w:r>
          </w:p>
        </w:tc>
        <w:tc>
          <w:tcPr>
            <w:tcW w:type="dxa" w:w="1816"/>
            <w:shd w:val="clear" w:color="auto" w:fill="F2F2F2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KPI report</w:t>
            </w:r>
          </w:p>
        </w:tc>
        <w:tc>
          <w:tcPr>
            <w:tcW w:type="dxa" w:w="1537"/>
          </w:tcPr>
          <w:p>
            <w:pPr>
              <w:spacing w:after="20" w:line="240" w:lineRule="auto"/>
            </w:pPr>
            <w:r/>
          </w:p>
        </w:tc>
        <w:tc>
          <w:tcPr>
            <w:tcW w:type="dxa" w:w="1118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160"/>
      </w:pPr>
      <w:r>
        <w:rPr>
          <w:i/>
          <w:color w:val="595959"/>
          <w:sz w:val="17"/>
        </w:rPr>
        <w:t>Outline as shown in Table 4.3 of the book (example).</w:t>
      </w:r>
    </w:p>
    <w:p>
      <w:pPr>
        <w:pStyle w:val="Heading2"/>
      </w:pPr>
      <w:r>
        <w:t>Minimum requirements to write into the SOP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Before any CAPA closes, a search for related records by device, component and failure mode is performed and its result recorded.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One function is accountable for opening, validating and concluding signals, with authority to call on the others.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CAPA closures and complaint trends are named inputs to the ISO 14971 clause 10 production and post-production review.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Conclusions use the controlled categories confirmed, refuted or indeterminate; "closed" is an administrative status, not a finding.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Every signal record states its reopening criteria.</w:t>
      </w:r>
    </w:p>
    <w:p>
      <w:pPr>
        <w:spacing w:after="40"/>
        <w:ind w:left="360" w:hanging="360"/>
      </w:pPr>
      <w:r>
        <w:t xml:space="preserve">☐  </w:t>
      </w:r>
      <w:r>
        <w:rPr>
          <w:b w:val="0"/>
        </w:rPr>
        <w:t>Company-designed thresholds and timelines are labeled as company choices, never as regulatory requirements.</w:t>
      </w:r>
    </w:p>
    <w:p>
      <w:pPr>
        <w:pStyle w:val="Heading1"/>
      </w:pPr>
      <w:r>
        <w:t>Part B — RACI aligned with ISO 13485 processes</w:t>
      </w:r>
    </w:p>
    <w:p>
      <w:r>
        <w:rPr>
          <w:b w:val="0"/>
        </w:rPr>
        <w:t>R = responsible (does the work); A = accountable (one function only, signs off); C = consulted; I = informed. The book's example shows R, A and C; add the informed parties for your organization.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54"/>
        <w:gridCol w:w="1257"/>
        <w:gridCol w:w="1397"/>
        <w:gridCol w:w="1397"/>
        <w:gridCol w:w="1397"/>
        <w:gridCol w:w="1257"/>
      </w:tblGrid>
      <w:tr>
        <w:trPr>
          <w:tblHeader w:val="true"/>
          <w:cantSplit w:val="true"/>
        </w:trPr>
        <w:tc>
          <w:tcPr>
            <w:tcW w:type="dxa" w:w="265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25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ISO 13485 anchor</w:t>
            </w:r>
          </w:p>
        </w:tc>
        <w:tc>
          <w:tcPr>
            <w:tcW w:type="dxa" w:w="139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39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Accountable</w:t>
            </w:r>
          </w:p>
        </w:tc>
        <w:tc>
          <w:tcPr>
            <w:tcW w:type="dxa" w:w="139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Consulted</w:t>
            </w:r>
          </w:p>
        </w:tc>
        <w:tc>
          <w:tcPr>
            <w:tcW w:type="dxa" w:w="125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Informed</w:t>
            </w:r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intake and linkage search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8.2.2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Feedback and non-complaint sources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opening and validation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Reporting to authorities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8.2.3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Corrective action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8.5.2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Preventive action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8.5.3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265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conclusion and action</w:t>
            </w:r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8.2.1, 8.5.2</w:t>
            </w:r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654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654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  <w:trHeight w:val="461" w:hRule="atLeast"/>
        </w:trPr>
        <w:tc>
          <w:tcPr>
            <w:tcW w:type="dxa" w:w="2654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397"/>
          </w:tcPr>
          <w:p>
            <w:pPr>
              <w:spacing w:after="20" w:line="240" w:lineRule="auto"/>
            </w:pPr>
            <w:r/>
          </w:p>
        </w:tc>
        <w:tc>
          <w:tcPr>
            <w:tcW w:type="dxa" w:w="1257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b w:val="0"/>
          <w:i/>
          <w:color w:val="595959"/>
          <w:sz w:val="18"/>
        </w:rPr>
        <w:t>If two functions claim accountability for the same step, resolve it before the SOP is approved.</w:t>
      </w:r>
    </w:p>
    <w:p>
      <w:pPr>
        <w:pStyle w:val="Heading3"/>
      </w:pPr>
      <w:r>
        <w:t>Approval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168"/>
        <w:gridCol w:w="2592"/>
        <w:gridCol w:w="2304"/>
        <w:gridCol w:w="1296"/>
      </w:tblGrid>
      <w:tr>
        <w:trPr>
          <w:tblHeader w:val="true"/>
          <w:cantSplit w:val="true"/>
        </w:trPr>
        <w:tc>
          <w:tcPr>
            <w:tcW w:type="dxa" w:w="316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SOP owner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Head of quality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Vigilance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  <w:tr>
        <w:trPr>
          <w:cantSplit w:val="true"/>
        </w:trPr>
        <w:tc>
          <w:tcPr>
            <w:tcW w:type="dxa" w:w="3168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Regulatory lead</w:t>
            </w:r>
          </w:p>
        </w:tc>
        <w:tc>
          <w:tcPr>
            <w:tcW w:type="dxa" w:w="2592"/>
          </w:tcPr>
          <w:p>
            <w:pPr>
              <w:spacing w:after="20" w:line="240" w:lineRule="auto"/>
            </w:pPr>
            <w:r/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</w:p>
        </w:tc>
        <w:tc>
          <w:tcPr>
            <w:tcW w:type="dxa" w:w="1296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1"/>
        <w:pageBreakBefore/>
      </w:pPr>
      <w:r>
        <w:t>Example (fictional case)</w:t>
      </w:r>
    </w:p>
    <w:p>
      <w:r>
        <w:rPr>
          <w:b w:val="0"/>
          <w:i/>
          <w:color w:val="595959"/>
          <w:sz w:val="18"/>
        </w:rPr>
        <w:t>All names, numbers and events below are fictional composites from the book's case dossiers. They show the expected level of detail, not a regulatory standard. Table 4.4 of the book: RACI partly filled; the last row is left for the reader's organization.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74"/>
        <w:gridCol w:w="1337"/>
        <w:gridCol w:w="1604"/>
        <w:gridCol w:w="1738"/>
        <w:gridCol w:w="2005"/>
      </w:tblGrid>
      <w:tr>
        <w:trPr>
          <w:tblHeader w:val="true"/>
          <w:cantSplit w:val="true"/>
        </w:trPr>
        <w:tc>
          <w:tcPr>
            <w:tcW w:type="dxa" w:w="2674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337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ISO 13485 anchor</w:t>
            </w:r>
          </w:p>
        </w:tc>
        <w:tc>
          <w:tcPr>
            <w:tcW w:type="dxa" w:w="1605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38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Accountable</w:t>
            </w:r>
          </w:p>
        </w:tc>
        <w:tc>
          <w:tcPr>
            <w:tcW w:type="dxa" w:w="2006"/>
            <w:shd w:val="clear" w:color="auto" w:fill="17375E"/>
            <w:vAlign w:val="center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color w:val="FFFFFF"/>
                <w:sz w:val="18"/>
              </w:rPr>
              <w:t>Consulted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Complaint intake and linkage search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8.2.2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Complaint handling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Complaint-handling lead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Feedback and non-complaint sources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PMS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PMS lead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Service; supplier quality; sales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record opening and validation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 lead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Clinical; R&amp;D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Reporting to authorities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8.2.3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Regulatory affairs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Regulatory lead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Corrective action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8.5.2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CAPA owner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Head of quality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Vigilance; R&amp;D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Preventive action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8.5.3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CAPA owner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Head of quality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Risk management</w:t>
            </w:r>
          </w:p>
        </w:tc>
      </w:tr>
      <w:tr>
        <w:trPr>
          <w:cantSplit w:val="true"/>
        </w:trPr>
        <w:tc>
          <w:tcPr>
            <w:tcW w:type="dxa" w:w="2674"/>
            <w:shd w:val="clear" w:color="auto" w:fill="DCE6F1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b/>
                <w:sz w:val="18"/>
              </w:rPr>
              <w:t>Signal conclusion and action</w:t>
            </w:r>
          </w:p>
        </w:tc>
        <w:tc>
          <w:tcPr>
            <w:tcW w:type="dxa" w:w="1337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8.2.1, 8.5.2</w:t>
            </w:r>
          </w:p>
        </w:tc>
        <w:tc>
          <w:tcPr>
            <w:tcW w:type="dxa" w:w="1605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Review board</w:t>
            </w:r>
          </w:p>
        </w:tc>
        <w:tc>
          <w:tcPr>
            <w:tcW w:type="dxa" w:w="1738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[to be assigned]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/>
            <w:r>
              <w:rPr>
                <w:b w:val="0"/>
                <w:sz w:val="18"/>
              </w:rPr>
              <w:t>[to be assigned]</w:t>
            </w:r>
          </w:p>
        </w:tc>
      </w:tr>
    </w:tbl>
    <w:p>
      <w:pPr>
        <w:spacing w:after="160"/>
      </w:pPr>
      <w:r>
        <w:rPr>
          <w:i/>
          <w:color w:val="595959"/>
          <w:sz w:val="17"/>
        </w:rPr>
        <w:t>Table 4.4 — Tool T-1: RACI aligned with ISO 13485 processes (partly filled example). Kestran context: three insulation-abrasion CAPAs at three hospitals were closed without being linked, because no step owned the linkage search.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A6A6A6"/>
      </w:pBdr>
    </w:pPr>
    <w:r/>
    <w:r>
      <w:rPr>
        <w:i/>
        <w:color w:val="595959"/>
        <w:sz w:val="16"/>
      </w:rPr>
      <w:t>Educational template — adapt to your quality system. Not a regulatory requirement.</w:t>
    </w:r>
  </w:p>
  <w:p>
    <w:r>
      <w:rPr>
        <w:color w:val="595959"/>
        <w:sz w:val="16"/>
      </w:rPr>
      <w:t xml:space="preserve">© 2026 Selim Medical Press · Tool T-1 · Page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A6A6A6"/>
      </w:pBdr>
    </w:pPr>
    <w:r/>
    <w:r>
      <w:rPr>
        <w:rFonts w:ascii="Calibri" w:hAnsi="Calibri"/>
        <w:color w:val="595959"/>
        <w:sz w:val="17"/>
      </w:rPr>
      <w:t>Selim Medical Press · Signal Management in Medical Device Vigilance · Tool T-1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mbria" w:hAnsi="Cambria" w:cs="Cambria" w:eastAsia="Cambria"/>
      <w:b/>
      <w:bCs/>
      <w:color w:val="173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Cambria" w:hAnsi="Cambria" w:cs="Cambria" w:eastAsia="Cambria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Cambria" w:hAnsi="Cambria" w:cs="Cambria" w:eastAsia="Cambria"/>
      <w:b/>
      <w:bCs/>
      <w:color w:val="1737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Cambria" w:hAnsi="Cambria" w:cs="Cambria" w:eastAsia="Cambria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 T-1 — Device Signal-Management SOP Outline and RACI</dc:title>
  <dc:subject>Signal Management in Medical Device Vigilance — companion toolkit</dc:subject>
  <dc:creator>Dr. Hafez Selim, MD, PhD</dc:creator>
  <cp:keywords>device vigilance; signal management; toolkit</cp:keywords>
  <dc:description>Selim Medical Press © 2026. Educational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