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T-2</w:t>
      </w:r>
    </w:p>
    <w:p>
      <w:pPr>
        <w:pStyle w:val="Title"/>
      </w:pPr>
      <w:r>
        <w:t>Data-Source Inventory</w:t>
      </w:r>
    </w:p>
    <w:p>
      <w:r>
        <w:rPr>
          <w:i/>
          <w:color w:val="595959"/>
          <w:sz w:val="21"/>
        </w:rPr>
        <w:t>Owner, access, refresh, coding and blind spots for every source that can reveal a device signal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Records, for each data source, who owns it, how the company gets access, how often data refresh, which coding standard applies, and which failure modes the source cannot see — so that the detection strategy can be argued rather than assumed.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Complete once per device family; review each time the PMS plan is updated, when a new source is added, and after any signal that was detected late.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5, Sources of Device Signals — section 5.5 (Table 5.2).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Header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 family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PMS plan version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Completed by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Reviewed by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Next review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1 — Source inventory</w:t>
      </w:r>
    </w:p>
    <w:p>
      <w:r>
        <w:rPr>
          <w:b w:val="0"/>
        </w:rPr>
        <w:t>The last column matters most: write down each source's blind spots. Refresh intervals and access routes are company choices, not regulatory requirements.</w:t>
      </w:r>
    </w:p>
    <w:tbl>
      <w:tblPr>
        <w:tblW w:type="dxa" w:w="9359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72"/>
        <w:gridCol w:w="1583"/>
        <w:gridCol w:w="1872"/>
        <w:gridCol w:w="1583"/>
        <w:gridCol w:w="2447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Access and refresh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Coding</w:t>
            </w:r>
          </w:p>
        </w:tc>
        <w:tc>
          <w:tcPr>
            <w:tcW w:type="dxa" w:w="244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Known blind spots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Sources to consider: complaint system; service and repair records; returned-device and explant analysis; manufacturing and supplier records; PMCF studies; registries; literature; AEMS (which absorbed the former MAUDE database) and other authority databases; device telemetry and logs; sales and distribution data (denominators).</w:t>
      </w:r>
    </w:p>
    <w:p>
      <w:pPr>
        <w:pStyle w:val="Heading1"/>
      </w:pPr>
      <w:r>
        <w:t>Part 2 — Hazard-to-source coverage map</w:t>
      </w:r>
    </w:p>
    <w:p>
      <w:r>
        <w:rPr>
          <w:b w:val="0"/>
        </w:rPr>
        <w:t>Map each high-severity hazard in the risk management file to at least one source that can see it. Flag any hazard with no source, and record the lag between a failure and its detection; that lag belongs in the benefit–risk reasoning.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60"/>
        <w:gridCol w:w="2304"/>
        <w:gridCol w:w="1440"/>
        <w:gridCol w:w="1296"/>
        <w:gridCol w:w="2160"/>
      </w:tblGrid>
      <w:tr>
        <w:trPr>
          <w:tblHeader w:val="true"/>
          <w:cantSplit w:val="true"/>
        </w:trPr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Hazard (risk file ID)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Source(s) that can see it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Detection lag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No source? (flag)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Action / owner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3 — Who carries data across boundaries</w:t>
      </w:r>
    </w:p>
    <w:p>
      <w:r>
        <w:rPr>
          <w:b w:val="0"/>
        </w:rPr>
        <w:t>Name the person who puts one source next to another (for example, the manufacturing change log next to registry revision reasons).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80"/>
        <w:gridCol w:w="2160"/>
        <w:gridCol w:w="1440"/>
        <w:gridCol w:w="2880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Sources to be compared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Person responsible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Record of the comparison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Review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2592"/>
        <w:gridCol w:w="2304"/>
        <w:gridCol w:w="1296"/>
      </w:tblGrid>
      <w:tr>
        <w:trPr>
          <w:tblHeader w:val="true"/>
          <w:cantSplit w:val="true"/>
        </w:trPr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PMS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Vigilance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Tessora hip, completed after the registry signal (complaints were flat; the registry showed O/E 1.85).</w:t>
      </w:r>
    </w:p>
    <w:tbl>
      <w:tblPr>
        <w:tblW w:type="dxa" w:w="9359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72"/>
        <w:gridCol w:w="1583"/>
        <w:gridCol w:w="1872"/>
        <w:gridCol w:w="1583"/>
        <w:gridCol w:w="2447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Access and refresh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Coding</w:t>
            </w:r>
          </w:p>
        </w:tc>
        <w:tc>
          <w:tcPr>
            <w:tcW w:type="dxa" w:w="244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Known blind spots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Complaint system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Complaint-handling lead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Internal; continuous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IMDRF terms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Revisions at other hospitals; late failures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National joint registry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Vigilance lead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Annual report; data request on outlier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Registry revision reasons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Harm without revision; size often missing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PMCF study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Clinical affairs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Protocol visits; interim reports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Protocol definitions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Small sample; selected sites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Explant analysis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Product engineering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On return; ad hoc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IMDRF Annex C findings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Explants rarely returned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Manufacturing records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Quality engineering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Internal; monthly review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Nonconformance codes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 field outcome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5.2 — Data-source inventory (Tool T-2), partly completed for Tessora (illustrative).</w:t>
      </w:r>
    </w:p>
    <w:p>
      <w:r>
        <w:rPr>
          <w:b w:val="0"/>
          <w:i/>
          <w:color w:val="595959"/>
          <w:sz w:val="18"/>
        </w:rPr>
        <w:t>Lesson recorded for Tessora: the annual registry report means a failure may run for more than a year before detection, and the missing step was a person who would put the manufacturing change log (locking-ring tolerance change, Year 3, month 4) next to the registry's revision reasons.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T-2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T-2 — Data-Source Inventory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