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T-3</w:t>
      </w:r>
    </w:p>
    <w:p>
      <w:pPr>
        <w:pStyle w:val="Title"/>
      </w:pPr>
      <w:r>
        <w:t>Coding and Denominator Worksheet</w:t>
      </w:r>
    </w:p>
    <w:p>
      <w:r>
        <w:rPr>
          <w:i/>
          <w:color w:val="595959"/>
          <w:sz w:val="21"/>
        </w:rPr>
        <w:t>Part A: IMDRF coding on all relevant axes · Part B: denominator selection · Part C: deduplication log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Records IMDRF coding for each event on all relevant axes, with the release used and the reviewer (Part A); the denominator chosen for each analysis, its source, its limits and the strata defined before the analysis was run (Part B); and how duplicate reports were merged (Part C).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For each event entering a trend, case series or signal assessment (Part A), and for each analysis in the PMS plan or an assessment protocol (Parts B and C).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6, Coding and Preparing Device Data — section 6.5 (Table 6.2).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A — IMDRF coding (one sheet per event)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Complaint / event ID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and model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IMDRF release used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Coded by / date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Second reviewer / date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Linked records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</w:rPr>
        <w:t>Keep the device problem and the health effect on separate axes. Record the reporter's words, then the coding after investigation. Use descriptions here if helpful; codes are taken from the current IMDRF release.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2015"/>
        <w:gridCol w:w="2160"/>
        <w:gridCol w:w="1152"/>
        <w:gridCol w:w="2160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Reporter's account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After investigation</w:t>
            </w:r>
          </w:p>
        </w:tc>
        <w:tc>
          <w:tcPr>
            <w:tcW w:type="dxa" w:w="11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IMDRF axis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Reviewer note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problem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A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G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Investigation type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B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Investigation finding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C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Investigation conclusion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D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Health effect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E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Health impact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F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Combination products: code the drug-constituent clinical event in MedDRA as well, and record the term here: ______________________</w:t>
      </w:r>
    </w:p>
    <w:p>
      <w:pPr>
        <w:pStyle w:val="Heading1"/>
      </w:pPr>
      <w:r>
        <w:t>Part B — Denominator selection (one line per analysis)</w:t>
      </w:r>
    </w:p>
    <w:p>
      <w:r>
        <w:rPr>
          <w:b w:val="0"/>
        </w:rPr>
        <w:t>Define strata before the analysis runs and record the date they were defined. State the limit of each denominator next to its use, and name the data owner.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15"/>
        <w:gridCol w:w="1872"/>
        <w:gridCol w:w="1872"/>
        <w:gridCol w:w="1872"/>
        <w:gridCol w:w="1728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Analysis (primary / secondary / effectiveness)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Denominator and unit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 and data owner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Known limits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Strata and date defined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Common choices: units sold or distributed; devices in use (service records); device-years or pump-years; procedures; infusion hours or other usage from device logs; implanted base followed over time (see Tool T-8).</w:t>
      </w:r>
    </w:p>
    <w:p>
      <w:pPr>
        <w:pStyle w:val="Heading1"/>
      </w:pPr>
      <w:r>
        <w:t>Part C — Deduplication log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592"/>
        <w:gridCol w:w="1440"/>
        <w:gridCol w:w="1584"/>
        <w:gridCol w:w="2304"/>
        <w:gridCol w:w="1440"/>
      </w:tblGrid>
      <w:tr>
        <w:trPr>
          <w:tblHeader w:val="true"/>
          <w:cantSplit w:val="true"/>
        </w:trPr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Matching fields used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Records retrieved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Unique events after merge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Near-matches resolved by (name)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Without this log an auditor cannot tell whether a count is a count of events or a count of reports. Never delete duplicate records; the master record points to them.</w:t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Orvana infusion pump: Part A for one home-use free-flow complaint, Year 4.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1872"/>
        <w:gridCol w:w="2304"/>
        <w:gridCol w:w="1152"/>
        <w:gridCol w:w="2160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Reporter's account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After investigation</w:t>
            </w:r>
          </w:p>
        </w:tc>
        <w:tc>
          <w:tcPr>
            <w:tcW w:type="dxa" w:w="11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IMDRF axis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Reviewer note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problem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Line ran freely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Uncontrolled flow after cassette removal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A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Same term for all 45 events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"Cassette"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C-2 cassette; roller clamp open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G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Cassette type recorded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Investigation finding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Not applicable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Design permits removal with clamp open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C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Use–design interaction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Health effect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Patient unwell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Symptoms of fluid over-delivery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E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Confirmed by clinician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Health impact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Went to hospital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Hospitalization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Annex F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Counts toward 4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6.2 — Coding and denominator worksheet (Tool T-3), Part A, for one Orvana home-use complaint (illustrative).</w:t>
      </w:r>
    </w:p>
    <w:p>
      <w:pPr>
        <w:pStyle w:val="Heading3"/>
      </w:pPr>
      <w:r>
        <w:t>Part B for the same review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296"/>
        <w:gridCol w:w="2304"/>
        <w:gridCol w:w="2160"/>
        <w:gridCol w:w="2015"/>
        <w:gridCol w:w="1584"/>
      </w:tblGrid>
      <w:tr>
        <w:trPr>
          <w:tblHeader w:val="true"/>
          <w:cantSplit w:val="true"/>
        </w:trPr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Analysis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Denominator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Data owner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Known limits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Strata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Primary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Pumps in use, by setting (3,000 home; 15,000 hospital)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Service records (pumps in use); complaint system (setting)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Home or hospital, defined in the PMS plan before Year 4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Secondary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Infusion hours, whole fleet (19.8 million)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Pump logs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Hours are a fleet average and cannot be split by setting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Effectiveness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C-3-fitted home pumps; annualized rate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Service records; complaint system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Annualized from each quarter's count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Home setting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Part B summarized from section 6.5. Result: 45 free-flow complaints = 2.5 per 1,000 pump-years or 0.23 per 100,000 infusion hours; home 7.0 vs hospital 1.6 per 1,000 pumps (rate ratio 4.4).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T-3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T-3 — Coding and Denominator Worksheet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