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T-4</w:t>
      </w:r>
    </w:p>
    <w:p>
      <w:pPr>
        <w:pStyle w:val="Title"/>
      </w:pPr>
      <w:r>
        <w:t>Joint Clinical–Engineering Review Form</w:t>
      </w:r>
    </w:p>
    <w:p>
      <w:r>
        <w:rPr>
          <w:i/>
          <w:color w:val="595959"/>
          <w:sz w:val="21"/>
        </w:rPr>
        <w:t>Keeps observed facts, reporter claims, bench findings, interpretation, alternatives and open questions apart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A form completed jointly by a clinical reviewer and an engineering reviewer. It keeps six kinds of information separate so that a reader can tell what was seen from what was inferred, and it ends with three signed decisions.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For any cluster, novel failure mode or serious event. Company example triggers: any event with a novel failure location; any cluster from one lot or site; any serious injury with a device problem. Write your triggers into the signal-management SOP.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7, Clinical and Engineering Review — section 7.5 (Table 7.2).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Identification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/ alert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Product and lot(s)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Trigger for this form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reviewer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Engineering reviewer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Linked complaint IDs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 of joint review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Review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72"/>
        <w:gridCol w:w="4175"/>
        <w:gridCol w:w="1872"/>
        <w:gridCol w:w="1440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17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Observed facts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Reporter claims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Bench findings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Interpretation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Alternatives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872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Open questions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Status examples: Verified; Awaiting records; Joint conclusion; Assigned, with owner and due date.</w:t>
      </w:r>
    </w:p>
    <w:p>
      <w:pPr>
        <w:pStyle w:val="Heading2"/>
      </w:pPr>
      <w:r>
        <w:t>Chronology (optional)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40"/>
        <w:gridCol w:w="4320"/>
        <w:gridCol w:w="1872"/>
        <w:gridCol w:w="1728"/>
      </w:tblGrid>
      <w:tr>
        <w:trPr>
          <w:tblHeader w:val="true"/>
          <w:cantSplit w:val="true"/>
        </w:trPr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 / day</w:t>
            </w:r>
          </w:p>
        </w:tc>
        <w:tc>
          <w:tcPr>
            <w:tcW w:type="dxa" w:w="43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Record ID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432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Decisions (each signed by both reviewers)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1007"/>
        <w:gridCol w:w="2736"/>
        <w:gridCol w:w="1440"/>
        <w:gridCol w:w="1440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100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Yes / No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Clinical reviewer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Engineering reviewer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 Is the alert validated for assessment?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2. Is immediate containment (for example, lot quarantine) needed?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3. Must reportability be assessed now?</w:t>
            </w:r>
          </w:p>
        </w:tc>
        <w:tc>
          <w:tcPr>
            <w:tcW w:type="dxa" w:w="1008"/>
          </w:tcPr>
          <w:p>
            <w:pPr>
              <w:spacing w:after="20" w:line="240" w:lineRule="auto"/>
            </w:pPr>
            <w:r/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Filing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Form filed in the signal record: ID ____________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Form linked to every related complaint record, so the connection survives when the complaints close.</w:t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Neoflo central venous catheter, lot 24-121, at the data cut.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3744"/>
        <w:gridCol w:w="2160"/>
        <w:gridCol w:w="1728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7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Observed facts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Seal channels in 7 of 40 unopened pouches, lot 24-121; 0 of 40 in lots 24-120 and 24-122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Dye-penetration test report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Reporter claims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Three bloodstream infections within 48 hours of insertion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Hospital infection prevention nurse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Awaiting clinical records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Bench findings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Channels cross the seal width; test method ASTM F1929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Packaging engineering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Interpretation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Sterile-barrier failure is the most coherent explanation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Safety physician and packaging engineer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Joint conclusion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Alternatives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Insertion practice; infusate; skin preparation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Review team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None explains seal channels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Open questions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Other lots used at the hospital; organisms; other customers of lot 24-121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Review team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Assigned, with owners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7.2 — Joint clinical–engineering review form (Tool T-4), partly completed for Neoflo lot 24-121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320"/>
        <w:gridCol w:w="5040"/>
      </w:tblGrid>
      <w:tr>
        <w:trPr>
          <w:tblHeader w:val="true"/>
          <w:cantSplit w:val="true"/>
        </w:trPr>
        <w:tc>
          <w:tcPr>
            <w:tcW w:type="dxa" w:w="432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0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Neoflo answer</w:t>
            </w:r>
          </w:p>
        </w:tc>
      </w:tr>
      <w:tr>
        <w:trPr>
          <w:cantSplit w:val="true"/>
        </w:trPr>
        <w:tc>
          <w:tcPr>
            <w:tcW w:type="dxa" w:w="43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Validated for assessment?</w:t>
            </w:r>
          </w:p>
        </w:tc>
        <w:tc>
          <w:tcPr>
            <w:tcW w:type="dxa" w:w="50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43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Immediate containment needed?</w:t>
            </w:r>
          </w:p>
        </w:tc>
        <w:tc>
          <w:tcPr>
            <w:tcW w:type="dxa" w:w="50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</w:tr>
      <w:tr>
        <w:trPr>
          <w:cantSplit w:val="true"/>
        </w:trPr>
        <w:tc>
          <w:tcPr>
            <w:tcW w:type="dxa" w:w="432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Reportability to be assessed now?</w:t>
            </w:r>
          </w:p>
        </w:tc>
        <w:tc>
          <w:tcPr>
            <w:tcW w:type="dxa" w:w="50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Yes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For Neoflo the answer to all three decisions was yes. The weekly meeting connected a separate complaint from the same hospital describing a wrinkled pouch seal; the cause was later found to be temperature-controller drift on the pouch sealer.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T-4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T-4 — Joint Clinical–Engineering Review Form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