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T-9</w:t>
      </w:r>
    </w:p>
    <w:p>
      <w:pPr>
        <w:pStyle w:val="Title"/>
      </w:pPr>
      <w:r>
        <w:t>Special-Situation Checklist and AI Performance-Monitoring Plan</w:t>
      </w:r>
    </w:p>
    <w:p>
      <w:r>
        <w:rPr>
          <w:i/>
          <w:color w:val="595959"/>
          <w:sz w:val="21"/>
        </w:rPr>
        <w:t>Part A: which special situations apply and whether the system captures them · Part B: monitoring plan for AI devices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Part A asks, for each product, which special detection situations apply and whether the complaint form, coding rules and data sources capture the extra elements each one needs. Part B defines, for AI devices, what is sampled, how often, how ground truth is established, which strata are reported and which thresholds trigger review.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At design transfer and at each PMS plan update; whenever software, firmware, a connected function, a medicinal substance, reprocessing or a third-party accessory is introduced.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11, Special Detection Situations — section 11.5 (Tables 11.1 and 11.2).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A — Special-situation checklist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Product / model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Software version(s)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Completed by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15"/>
        <w:gridCol w:w="1007"/>
        <w:gridCol w:w="2015"/>
        <w:gridCol w:w="2015"/>
        <w:gridCol w:w="2304"/>
      </w:tblGrid>
      <w:tr>
        <w:trPr>
          <w:tblHeader w:val="true"/>
          <w:cantSplit w:val="true"/>
        </w:trPr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100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Applies? (Y/N)</w:t>
            </w:r>
          </w:p>
        </w:tc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Extra elements captured on complaint form? (Y/N/partly)</w:t>
            </w:r>
          </w:p>
        </w:tc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Coding rules and data sources in place?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Gap and action (owner, due)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Software and AI</w:t>
            </w:r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Connected and cybersecurity</w:t>
            </w:r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Combination product</w:t>
            </w:r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Use error</w:t>
            </w:r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Reprocessing and accessories</w:t>
            </w:r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Reference: what each situation needs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72"/>
        <w:gridCol w:w="2447"/>
        <w:gridCol w:w="2736"/>
        <w:gridCol w:w="2304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244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Extra data elements</w:t>
            </w:r>
          </w:p>
        </w:tc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Detection method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Regulatory touchpoint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Software and AI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Version, configuration, input source, site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Ground-truth sampling, input-drift monitoring, version-level rates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IEC 62304; FDA PCCP guidance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Connected and cybersecurity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Firmware, network context, vulnerability ID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Disclosure intake, advisories, telemetry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IEC 81001-5-1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Combination product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Constituent, approach, dose or load, MedDRA term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Constituent-level review, PMCF with standard definitions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MDR Art 1(8), Annex IX section 5.2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Use error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User type, setting, task step, training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Complaint narrative review, simulated use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IEC 62366-1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Reprocessing and accessories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Reprocessing history, accessory source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Site clusters, returned-device evaluation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ISO 13485 clause 8.2.2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11.1 of the book — special situations: extra data, detection method and regulatory touchpoint.</w:t>
      </w:r>
    </w:p>
    <w:p>
      <w:pPr>
        <w:pStyle w:val="Heading1"/>
      </w:pPr>
      <w:r>
        <w:t>Part B — AI performance-monitoring plan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AI device / version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Intended use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Deployed sites (number)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Plan owner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</w:rPr>
        <w:t>Thresholds are company-designed examples; justify them in the PMS plan.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6192"/>
      </w:tblGrid>
      <w:tr>
        <w:trPr>
          <w:cantSplit w:val="true"/>
          <w:trHeight w:val="648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Performance metrics and reference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48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Ground truth and sampling (what, how often, who confirms)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48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Strata reported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48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Input monitoring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48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Review trigger (company example)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48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Actions when the trigger fires (change control, user notice, sampling frequency)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Stratum results log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440"/>
        <w:gridCol w:w="2736"/>
        <w:gridCol w:w="1872"/>
        <w:gridCol w:w="1728"/>
        <w:gridCol w:w="1584"/>
      </w:tblGrid>
      <w:tr>
        <w:trPr>
          <w:tblHeader w:val="true"/>
          <w:cantSplit w:val="true"/>
        </w:trPr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Stratum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Estimate (n/N)</w:t>
            </w:r>
          </w:p>
        </w:tc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95% CI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Trigger met? (Y/N)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Approval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2592"/>
        <w:gridCol w:w="2304"/>
        <w:gridCol w:w="1296"/>
      </w:tblGrid>
      <w:tr>
        <w:trPr>
          <w:tblHeader w:val="true"/>
          <w:cantSplit w:val="true"/>
        </w:trPr>
        <w:tc>
          <w:tcPr>
            <w:tcW w:type="dxa" w:w="316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PMS plan owner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Software / AI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Vigilance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Lumora AI chest X-ray triage software, Part B, Year 2, quarter 3. Zero complaints were received; the drift was found only by sampling.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6192"/>
      </w:tblGrid>
      <w:tr>
        <w:trPr>
          <w:tblHeader w:val="true"/>
          <w:cantSplit w:val="true"/>
        </w:trPr>
        <w:tc>
          <w:tcPr>
            <w:tcW w:type="dxa" w:w="316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Plan element</w:t>
            </w:r>
          </w:p>
        </w:tc>
        <w:tc>
          <w:tcPr>
            <w:tcW w:type="dxa" w:w="61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Lumora entry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Performance metrics and reference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Sensitivity and specificity against premarket 94% (470/500) and 91%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Ground truth and sampling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Radiologist-confirmed positives, quarterly; monthly for two quarters after a confirmed drift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Strata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Site; scanner model and firmware; acquisition protocol; software version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Input monitoring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Automated image-parameter drift checks at every site; site log of scanner and protocol changes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Review trigger (company example)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Any stratum whose sensitivity upper 95% limit falls below the premarket lower limit (91.6%)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11.2 — Tool T-9 AI performance-monitoring plan, filled for Lumora (illustrative).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296"/>
        <w:gridCol w:w="2880"/>
        <w:gridCol w:w="1728"/>
        <w:gridCol w:w="1584"/>
        <w:gridCol w:w="1872"/>
      </w:tblGrid>
      <w:tr>
        <w:trPr>
          <w:tblHeader w:val="true"/>
          <w:cantSplit w:val="true"/>
        </w:trPr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Stratum</w:t>
            </w:r>
          </w:p>
        </w:tc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Estimate (n/N)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95% CI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Trigger met?</w:t>
            </w:r>
          </w:p>
        </w:tc>
      </w:tr>
      <w:tr>
        <w:trPr>
          <w:cantSplit w:val="true"/>
        </w:trP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Year 2, Q3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3 hospitals after scanner firmware update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86% (129/150)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79.5–90.7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Yes (90.7% &lt; 91.6%)</w:t>
            </w:r>
          </w:p>
        </w:tc>
      </w:tr>
      <w:tr>
        <w:trPr>
          <w:cantSplit w:val="true"/>
        </w:trP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Year 2, Q3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All other sampled sites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93% (279/300)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89.5–95.4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Under this trigger, the affected-site stratum would have prompted review in the quarter it appeared.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T-9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T-9 — Special-Situation Checklist and AI Performance-Monitoring Plan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