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7375E"/>
          <w:sz w:val="18"/>
        </w:rPr>
        <w:t>COMPANION TOOLKIT · TOOL T-11</w:t>
      </w:r>
    </w:p>
    <w:p>
      <w:pPr>
        <w:pStyle w:val="Title"/>
      </w:pPr>
      <w:r>
        <w:t>Prioritization Matrix Aligned with ISO 14971</w:t>
      </w:r>
    </w:p>
    <w:p>
      <w:r>
        <w:rPr>
          <w:i/>
          <w:color w:val="595959"/>
          <w:sz w:val="21"/>
        </w:rPr>
        <w:t>Anchor table, band rules, floor rules, urgency triggers and a one-page scoring worksheet</w:t>
      </w:r>
    </w:p>
    <w:p>
      <w:pPr>
        <w:pBdr>
          <w:bottom w:val="single" w:sz="6" w:space="1" w:color="17375E"/>
        </w:pBdr>
        <w:spacing w:after="160"/>
      </w:pPr>
      <w:r>
        <w:rPr>
          <w:color w:val="595959"/>
          <w:sz w:val="17"/>
        </w:rPr>
        <w:t>Signal Management in Medical Device Vigilance · Dr. Hafez Selim, MD, PhD · Selim Medical Press · © 2026</w:t>
      </w:r>
    </w:p>
    <w:tbl>
      <w:tblPr>
        <w:tblW w:type="dxa" w:w="936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160"/>
        <w:gridCol w:w="7200"/>
      </w:tblGrid>
      <w:tr>
        <w:tc>
          <w:tcPr>
            <w:tcW w:type="dxa" w:w="2160"/>
            <w:shd w:val="clear" w:color="auto" w:fill="DCE6F1"/>
          </w:tcPr>
          <w:p>
            <w:r/>
            <w:r>
              <w:rPr>
                <w:b/>
                <w:color w:val="17375E"/>
              </w:rPr>
              <w:t>Purpose</w:t>
            </w:r>
          </w:p>
        </w:tc>
        <w:tc>
          <w:tcPr>
            <w:tcW w:type="dxa" w:w="7200"/>
          </w:tcPr>
          <w:p>
            <w:pPr>
              <w:spacing w:after="20" w:line="240" w:lineRule="auto"/>
            </w:pPr>
            <w:r/>
            <w:r>
              <w:rPr>
                <w:b w:val="0"/>
              </w:rPr>
              <w:t>Decides the order and speed of assessment for validated signals using five domains scored 1–5 on the same severity scale as the risk management file. It does not conclude anything about causality and never replaces or extends a legal reporting clock.</w:t>
            </w:r>
          </w:p>
        </w:tc>
      </w:tr>
      <w:tr>
        <w:tc>
          <w:tcPr>
            <w:tcW w:type="dxa" w:w="2160"/>
            <w:shd w:val="clear" w:color="auto" w:fill="DCE6F1"/>
          </w:tcPr>
          <w:p>
            <w:r/>
            <w:r>
              <w:rPr>
                <w:b/>
                <w:color w:val="17375E"/>
              </w:rPr>
              <w:t>When to use</w:t>
            </w:r>
          </w:p>
        </w:tc>
        <w:tc>
          <w:tcPr>
            <w:tcW w:type="dxa" w:w="7200"/>
          </w:tcPr>
          <w:p>
            <w:pPr>
              <w:spacing w:after="20" w:line="240" w:lineRule="auto"/>
            </w:pPr>
            <w:r/>
            <w:r>
              <w:rPr>
                <w:b w:val="0"/>
              </w:rPr>
              <w:t>At validation, and again whenever the data change (a score is a snapshot). Calibrate once a year. Everything here is a company design, offered as an example — no regulation prescribes a device prioritization method.</w:t>
            </w:r>
          </w:p>
        </w:tc>
      </w:tr>
      <w:tr>
        <w:tc>
          <w:tcPr>
            <w:tcW w:type="dxa" w:w="2160"/>
            <w:shd w:val="clear" w:color="auto" w:fill="DCE6F1"/>
          </w:tcPr>
          <w:p>
            <w:r/>
            <w:r>
              <w:rPr>
                <w:b/>
                <w:color w:val="17375E"/>
              </w:rPr>
              <w:t>Chapter reference</w:t>
            </w:r>
          </w:p>
        </w:tc>
        <w:tc>
          <w:tcPr>
            <w:tcW w:type="dxa" w:w="7200"/>
          </w:tcPr>
          <w:p>
            <w:pPr>
              <w:spacing w:after="20" w:line="240" w:lineRule="auto"/>
            </w:pPr>
            <w:r/>
            <w:r>
              <w:rPr>
                <w:b w:val="0"/>
              </w:rPr>
              <w:t>Chapter 13, Signal Prioritization — section 13.5 (Tables 13.1–13.3). Companion web tool: https://abdu94-hash.github.io/device-signal-tool/</w:t>
            </w:r>
          </w:p>
        </w:tc>
      </w:tr>
    </w:tbl>
    <w:p>
      <w:pPr>
        <w:spacing w:after="0" w:before="0" w:line="80" w:lineRule="exact"/>
      </w:pPr>
      <w:r>
        <w:rPr>
          <w:sz w:val="8"/>
        </w:rPr>
      </w:r>
    </w:p>
    <w:p>
      <w:pPr>
        <w:pStyle w:val="Heading1"/>
      </w:pPr>
      <w:r>
        <w:t>Reference 1 — Scoring anchors (company example)</w:t>
      </w:r>
    </w:p>
    <w:tbl>
      <w:tblPr>
        <w:tblW w:type="dxa" w:w="9359"/>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015"/>
        <w:gridCol w:w="2447"/>
        <w:gridCol w:w="2447"/>
        <w:gridCol w:w="2447"/>
      </w:tblGrid>
      <w:tr>
        <w:trPr>
          <w:tblHeader w:val="true"/>
          <w:cantSplit w:val="true"/>
        </w:trPr>
        <w:tc>
          <w:tcPr>
            <w:tcW w:type="dxa" w:w="2016"/>
            <w:shd w:val="clear" w:color="auto" w:fill="17375E"/>
            <w:vAlign w:val="center"/>
          </w:tcPr>
          <w:p>
            <w:pPr>
              <w:spacing w:after="20" w:line="240" w:lineRule="auto"/>
            </w:pPr>
            <w:r>
              <w:rPr>
                <w:b/>
              </w:rPr>
            </w:r>
            <w:r>
              <w:rPr>
                <w:b/>
                <w:color w:val="FFFFFF"/>
                <w:sz w:val="17"/>
              </w:rPr>
              <w:t>Domain</w:t>
            </w:r>
          </w:p>
        </w:tc>
        <w:tc>
          <w:tcPr>
            <w:tcW w:type="dxa" w:w="2448"/>
            <w:shd w:val="clear" w:color="auto" w:fill="17375E"/>
            <w:vAlign w:val="center"/>
          </w:tcPr>
          <w:p>
            <w:pPr>
              <w:spacing w:after="20" w:line="240" w:lineRule="auto"/>
            </w:pPr>
            <w:r>
              <w:rPr>
                <w:b/>
              </w:rPr>
            </w:r>
            <w:r>
              <w:rPr>
                <w:b/>
                <w:color w:val="FFFFFF"/>
                <w:sz w:val="17"/>
              </w:rPr>
              <w:t>1</w:t>
            </w:r>
          </w:p>
        </w:tc>
        <w:tc>
          <w:tcPr>
            <w:tcW w:type="dxa" w:w="2448"/>
            <w:shd w:val="clear" w:color="auto" w:fill="17375E"/>
            <w:vAlign w:val="center"/>
          </w:tcPr>
          <w:p>
            <w:pPr>
              <w:spacing w:after="20" w:line="240" w:lineRule="auto"/>
            </w:pPr>
            <w:r>
              <w:rPr>
                <w:b/>
              </w:rPr>
            </w:r>
            <w:r>
              <w:rPr>
                <w:b/>
                <w:color w:val="FFFFFF"/>
                <w:sz w:val="17"/>
              </w:rPr>
              <w:t>3</w:t>
            </w:r>
          </w:p>
        </w:tc>
        <w:tc>
          <w:tcPr>
            <w:tcW w:type="dxa" w:w="2448"/>
            <w:shd w:val="clear" w:color="auto" w:fill="17375E"/>
            <w:vAlign w:val="center"/>
          </w:tcPr>
          <w:p>
            <w:pPr>
              <w:spacing w:after="20" w:line="240" w:lineRule="auto"/>
            </w:pPr>
            <w:r>
              <w:rPr>
                <w:b/>
              </w:rPr>
            </w:r>
            <w:r>
              <w:rPr>
                <w:b/>
                <w:color w:val="FFFFFF"/>
                <w:sz w:val="17"/>
              </w:rPr>
              <w:t>5</w:t>
            </w:r>
          </w:p>
        </w:tc>
      </w:tr>
      <w:tr>
        <w:trPr>
          <w:cantSplit w:val="true"/>
        </w:trPr>
        <w:tc>
          <w:tcPr>
            <w:tcW w:type="dxa" w:w="2016"/>
            <w:shd w:val="clear" w:color="auto" w:fill="DCE6F1"/>
          </w:tcPr>
          <w:p>
            <w:pPr>
              <w:spacing w:after="20" w:line="240" w:lineRule="auto"/>
            </w:pPr>
            <w:r>
              <w:rPr>
                <w:b/>
              </w:rPr>
            </w:r>
            <w:r>
              <w:rPr>
                <w:b/>
                <w:sz w:val="17"/>
              </w:rPr>
              <w:t>Severity (risk file scale)</w:t>
            </w:r>
          </w:p>
        </w:tc>
        <w:tc>
          <w:tcPr>
            <w:tcW w:type="dxa" w:w="2448"/>
          </w:tcPr>
          <w:p>
            <w:pPr>
              <w:spacing w:after="20" w:line="240" w:lineRule="auto"/>
            </w:pPr>
            <w:r/>
            <w:r>
              <w:rPr>
                <w:b w:val="0"/>
                <w:sz w:val="17"/>
              </w:rPr>
              <w:t>Negligible: no injury or temporary discomfort</w:t>
            </w:r>
          </w:p>
        </w:tc>
        <w:tc>
          <w:tcPr>
            <w:tcW w:type="dxa" w:w="2448"/>
          </w:tcPr>
          <w:p>
            <w:pPr>
              <w:spacing w:after="20" w:line="240" w:lineRule="auto"/>
            </w:pPr>
            <w:r/>
            <w:r>
              <w:rPr>
                <w:b w:val="0"/>
                <w:sz w:val="17"/>
              </w:rPr>
              <w:t>Serious: injury needing medical intervention</w:t>
            </w:r>
          </w:p>
        </w:tc>
        <w:tc>
          <w:tcPr>
            <w:tcW w:type="dxa" w:w="2448"/>
          </w:tcPr>
          <w:p>
            <w:pPr>
              <w:spacing w:after="20" w:line="240" w:lineRule="auto"/>
            </w:pPr>
            <w:r/>
            <w:r>
              <w:rPr>
                <w:b w:val="0"/>
                <w:sz w:val="17"/>
              </w:rPr>
              <w:t>Catastrophic: death or life-threatening injury credible</w:t>
            </w:r>
          </w:p>
        </w:tc>
      </w:tr>
      <w:tr>
        <w:trPr>
          <w:cantSplit w:val="true"/>
        </w:trPr>
        <w:tc>
          <w:tcPr>
            <w:tcW w:type="dxa" w:w="2016"/>
            <w:shd w:val="clear" w:color="auto" w:fill="DCE6F1"/>
          </w:tcPr>
          <w:p>
            <w:pPr>
              <w:spacing w:after="20" w:line="240" w:lineRule="auto"/>
            </w:pPr>
            <w:r>
              <w:rPr>
                <w:b/>
              </w:rPr>
            </w:r>
            <w:r>
              <w:rPr>
                <w:b/>
                <w:sz w:val="17"/>
              </w:rPr>
              <w:t>Probability change</w:t>
            </w:r>
          </w:p>
        </w:tc>
        <w:tc>
          <w:tcPr>
            <w:tcW w:type="dxa" w:w="2448"/>
          </w:tcPr>
          <w:p>
            <w:pPr>
              <w:spacing w:after="20" w:line="240" w:lineRule="auto"/>
            </w:pPr>
            <w:r/>
            <w:r>
              <w:rPr>
                <w:b w:val="0"/>
                <w:sz w:val="17"/>
              </w:rPr>
              <w:t>Within the risk file estimate</w:t>
            </w:r>
          </w:p>
        </w:tc>
        <w:tc>
          <w:tcPr>
            <w:tcW w:type="dxa" w:w="2448"/>
          </w:tcPr>
          <w:p>
            <w:pPr>
              <w:spacing w:after="20" w:line="240" w:lineRule="auto"/>
            </w:pPr>
            <w:r/>
            <w:r>
              <w:rPr>
                <w:b w:val="0"/>
                <w:sz w:val="17"/>
              </w:rPr>
              <w:t>Estimate exceeded, up to fivefold</w:t>
            </w:r>
          </w:p>
        </w:tc>
        <w:tc>
          <w:tcPr>
            <w:tcW w:type="dxa" w:w="2448"/>
          </w:tcPr>
          <w:p>
            <w:pPr>
              <w:spacing w:after="20" w:line="240" w:lineRule="auto"/>
            </w:pPr>
            <w:r/>
            <w:r>
              <w:rPr>
                <w:b w:val="0"/>
                <w:sz w:val="17"/>
              </w:rPr>
              <w:t>Fivefold or more and rising over consecutive periods</w:t>
            </w:r>
          </w:p>
        </w:tc>
      </w:tr>
      <w:tr>
        <w:trPr>
          <w:cantSplit w:val="true"/>
        </w:trPr>
        <w:tc>
          <w:tcPr>
            <w:tcW w:type="dxa" w:w="2016"/>
            <w:shd w:val="clear" w:color="auto" w:fill="DCE6F1"/>
          </w:tcPr>
          <w:p>
            <w:pPr>
              <w:spacing w:after="20" w:line="240" w:lineRule="auto"/>
            </w:pPr>
            <w:r>
              <w:rPr>
                <w:b/>
              </w:rPr>
            </w:r>
            <w:r>
              <w:rPr>
                <w:b/>
                <w:sz w:val="17"/>
              </w:rPr>
              <w:t>Exposure</w:t>
            </w:r>
          </w:p>
        </w:tc>
        <w:tc>
          <w:tcPr>
            <w:tcW w:type="dxa" w:w="2448"/>
          </w:tcPr>
          <w:p>
            <w:pPr>
              <w:spacing w:after="20" w:line="240" w:lineRule="auto"/>
            </w:pPr>
            <w:r/>
            <w:r>
              <w:rPr>
                <w:b w:val="0"/>
                <w:sz w:val="17"/>
              </w:rPr>
              <w:t>Fewer than 1,000 units in use; not shipping</w:t>
            </w:r>
          </w:p>
        </w:tc>
        <w:tc>
          <w:tcPr>
            <w:tcW w:type="dxa" w:w="2448"/>
          </w:tcPr>
          <w:p>
            <w:pPr>
              <w:spacing w:after="20" w:line="240" w:lineRule="auto"/>
            </w:pPr>
            <w:r/>
            <w:r>
              <w:rPr>
                <w:b w:val="0"/>
                <w:sz w:val="17"/>
              </w:rPr>
              <w:t>1,000 to 10,000 units in use</w:t>
            </w:r>
          </w:p>
        </w:tc>
        <w:tc>
          <w:tcPr>
            <w:tcW w:type="dxa" w:w="2448"/>
          </w:tcPr>
          <w:p>
            <w:pPr>
              <w:spacing w:after="20" w:line="240" w:lineRule="auto"/>
            </w:pPr>
            <w:r/>
            <w:r>
              <w:rPr>
                <w:b w:val="0"/>
                <w:sz w:val="17"/>
              </w:rPr>
              <w:t>More than 100,000 units, or an implanted base that cannot be recalled</w:t>
            </w:r>
          </w:p>
        </w:tc>
      </w:tr>
      <w:tr>
        <w:trPr>
          <w:cantSplit w:val="true"/>
        </w:trPr>
        <w:tc>
          <w:tcPr>
            <w:tcW w:type="dxa" w:w="2016"/>
            <w:shd w:val="clear" w:color="auto" w:fill="DCE6F1"/>
          </w:tcPr>
          <w:p>
            <w:pPr>
              <w:spacing w:after="20" w:line="240" w:lineRule="auto"/>
            </w:pPr>
            <w:r>
              <w:rPr>
                <w:b/>
              </w:rPr>
            </w:r>
            <w:r>
              <w:rPr>
                <w:b/>
                <w:sz w:val="17"/>
              </w:rPr>
              <w:t>Detectability</w:t>
            </w:r>
          </w:p>
        </w:tc>
        <w:tc>
          <w:tcPr>
            <w:tcW w:type="dxa" w:w="2448"/>
          </w:tcPr>
          <w:p>
            <w:pPr>
              <w:spacing w:after="20" w:line="240" w:lineRule="auto"/>
            </w:pPr>
            <w:r/>
            <w:r>
              <w:rPr>
                <w:b w:val="0"/>
                <w:sz w:val="17"/>
              </w:rPr>
              <w:t>Failure obvious before use</w:t>
            </w:r>
          </w:p>
        </w:tc>
        <w:tc>
          <w:tcPr>
            <w:tcW w:type="dxa" w:w="2448"/>
          </w:tcPr>
          <w:p>
            <w:pPr>
              <w:spacing w:after="20" w:line="240" w:lineRule="auto"/>
            </w:pPr>
            <w:r/>
            <w:r>
              <w:rPr>
                <w:b w:val="0"/>
                <w:sz w:val="17"/>
              </w:rPr>
              <w:t>Detected by an alarm or routine check, not always in time</w:t>
            </w:r>
          </w:p>
        </w:tc>
        <w:tc>
          <w:tcPr>
            <w:tcW w:type="dxa" w:w="2448"/>
          </w:tcPr>
          <w:p>
            <w:pPr>
              <w:spacing w:after="20" w:line="240" w:lineRule="auto"/>
            </w:pPr>
            <w:r/>
            <w:r>
              <w:rPr>
                <w:b w:val="0"/>
                <w:sz w:val="17"/>
              </w:rPr>
              <w:t>Silent until harm; no alarm or cue</w:t>
            </w:r>
          </w:p>
        </w:tc>
      </w:tr>
      <w:tr>
        <w:trPr>
          <w:cantSplit w:val="true"/>
        </w:trPr>
        <w:tc>
          <w:tcPr>
            <w:tcW w:type="dxa" w:w="2016"/>
            <w:shd w:val="clear" w:color="auto" w:fill="DCE6F1"/>
          </w:tcPr>
          <w:p>
            <w:pPr>
              <w:spacing w:after="20" w:line="240" w:lineRule="auto"/>
            </w:pPr>
            <w:r>
              <w:rPr>
                <w:b/>
              </w:rPr>
            </w:r>
            <w:r>
              <w:rPr>
                <w:b/>
                <w:sz w:val="17"/>
              </w:rPr>
              <w:t>Vulnerability</w:t>
            </w:r>
          </w:p>
        </w:tc>
        <w:tc>
          <w:tcPr>
            <w:tcW w:type="dxa" w:w="2448"/>
          </w:tcPr>
          <w:p>
            <w:pPr>
              <w:spacing w:after="20" w:line="240" w:lineRule="auto"/>
            </w:pPr>
            <w:r/>
            <w:r>
              <w:rPr>
                <w:b w:val="0"/>
                <w:sz w:val="17"/>
              </w:rPr>
              <w:t>Trained professional users, low-risk population</w:t>
            </w:r>
          </w:p>
        </w:tc>
        <w:tc>
          <w:tcPr>
            <w:tcW w:type="dxa" w:w="2448"/>
          </w:tcPr>
          <w:p>
            <w:pPr>
              <w:spacing w:after="20" w:line="240" w:lineRule="auto"/>
            </w:pPr>
            <w:r/>
            <w:r>
              <w:rPr>
                <w:b w:val="0"/>
                <w:sz w:val="17"/>
              </w:rPr>
              <w:t>Professional users, high-acuity setting</w:t>
            </w:r>
          </w:p>
        </w:tc>
        <w:tc>
          <w:tcPr>
            <w:tcW w:type="dxa" w:w="2448"/>
          </w:tcPr>
          <w:p>
            <w:pPr>
              <w:spacing w:after="20" w:line="240" w:lineRule="auto"/>
            </w:pPr>
            <w:r/>
            <w:r>
              <w:rPr>
                <w:b w:val="0"/>
                <w:sz w:val="17"/>
              </w:rPr>
              <w:t>Population cannot self-rescue: neonates, young children, sedated patients</w:t>
            </w:r>
          </w:p>
        </w:tc>
      </w:tr>
    </w:tbl>
    <w:p>
      <w:pPr>
        <w:spacing w:after="160"/>
      </w:pPr>
      <w:r>
        <w:rPr>
          <w:i/>
          <w:color w:val="595959"/>
          <w:sz w:val="17"/>
        </w:rPr>
        <w:t>Table 13.1 — Example scoring anchors. Scores 2 and 4 sit between the anchors shown; score 4 for probability change is "fivefold or more, trajectory stable or unknown", and score 4 for exposure is "10,001 to 100,000 units in use, affected configuration still distributed".</w:t>
      </w:r>
    </w:p>
    <w:p>
      <w:pPr>
        <w:pStyle w:val="ListBullet"/>
        <w:spacing w:after="40"/>
      </w:pPr>
      <w:r>
        <w:rPr>
          <w:b/>
        </w:rPr>
        <w:t>Severity:</w:t>
      </w:r>
      <w:r>
        <w:rPr>
          <w:b w:val="0"/>
        </w:rPr>
        <w:t xml:space="preserve"> score the worst credible harm, not the worst harm reported so far; use the risk file's five levels and definitions.</w:t>
      </w:r>
    </w:p>
    <w:p>
      <w:pPr>
        <w:pStyle w:val="ListBullet"/>
        <w:spacing w:after="40"/>
      </w:pPr>
      <w:r>
        <w:rPr>
          <w:b/>
        </w:rPr>
        <w:t>Probability change:</w:t>
      </w:r>
      <w:r>
        <w:rPr>
          <w:b w:val="0"/>
        </w:rPr>
        <w:t xml:space="preserve"> how far the post-market estimate has moved from the risk file estimate, and whether it is still moving (P1 and P2 per ISO/TR 24971).</w:t>
      </w:r>
    </w:p>
    <w:p>
      <w:pPr>
        <w:pStyle w:val="ListBullet"/>
        <w:spacing w:after="40"/>
      </w:pPr>
      <w:r>
        <w:rPr>
          <w:b/>
        </w:rPr>
        <w:t>Exposure:</w:t>
      </w:r>
      <w:r>
        <w:rPr>
          <w:b w:val="0"/>
        </w:rPr>
        <w:t xml:space="preserve"> devices in use, implanted base or procedures per year for the affected model, version or lot; is the affected configuration still shipping?</w:t>
      </w:r>
    </w:p>
    <w:p>
      <w:pPr>
        <w:pStyle w:val="ListBullet"/>
        <w:spacing w:after="40"/>
      </w:pPr>
      <w:r>
        <w:rPr>
          <w:b/>
        </w:rPr>
        <w:t>Detectability — direction:</w:t>
      </w:r>
      <w:r>
        <w:rPr>
          <w:b w:val="0"/>
        </w:rPr>
        <w:t xml:space="preserve"> a HIGH score means the failure is HARD to detect (the opposite of some FMEA scales). Print this on every form.</w:t>
      </w:r>
    </w:p>
    <w:p>
      <w:pPr>
        <w:pStyle w:val="ListBullet"/>
        <w:spacing w:after="40"/>
      </w:pPr>
      <w:r>
        <w:rPr>
          <w:b/>
        </w:rPr>
        <w:t>Vulnerability:</w:t>
      </w:r>
      <w:r>
        <w:rPr>
          <w:b w:val="0"/>
        </w:rPr>
        <w:t xml:space="preserve"> life-sustaining therapy, home use by lay users, populations that cannot self-rescue.</w:t>
      </w:r>
    </w:p>
    <w:p>
      <w:pPr>
        <w:pStyle w:val="Heading1"/>
      </w:pPr>
      <w:r>
        <w:t>Reference 2 — Bands, floor rules, urgency triggers, overrides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152"/>
        <w:gridCol w:w="1728"/>
        <w:gridCol w:w="6480"/>
      </w:tblGrid>
      <w:tr>
        <w:trPr>
          <w:tblHeader w:val="true"/>
          <w:cantSplit w:val="true"/>
        </w:trPr>
        <w:tc>
          <w:tcPr>
            <w:tcW w:type="dxa" w:w="1152"/>
            <w:shd w:val="clear" w:color="auto" w:fill="17375E"/>
            <w:vAlign w:val="center"/>
          </w:tcPr>
          <w:p>
            <w:pPr>
              <w:spacing w:after="20" w:line="240" w:lineRule="auto"/>
            </w:pPr>
            <w:r>
              <w:rPr>
                <w:b/>
              </w:rPr>
            </w:r>
            <w:r>
              <w:rPr>
                <w:b/>
                <w:color w:val="FFFFFF"/>
                <w:sz w:val="18"/>
              </w:rPr>
              <w:t>Band</w:t>
            </w:r>
          </w:p>
        </w:tc>
        <w:tc>
          <w:tcPr>
            <w:tcW w:type="dxa" w:w="1728"/>
            <w:shd w:val="clear" w:color="auto" w:fill="17375E"/>
            <w:vAlign w:val="center"/>
          </w:tcPr>
          <w:p>
            <w:pPr>
              <w:spacing w:after="20" w:line="240" w:lineRule="auto"/>
            </w:pPr>
            <w:r>
              <w:rPr>
                <w:b/>
              </w:rPr>
            </w:r>
            <w:r>
              <w:rPr>
                <w:b/>
                <w:color w:val="FFFFFF"/>
                <w:sz w:val="18"/>
              </w:rPr>
              <w:t>Total score</w:t>
            </w:r>
          </w:p>
        </w:tc>
        <w:tc>
          <w:tcPr>
            <w:tcW w:type="dxa" w:w="6480"/>
            <w:shd w:val="clear" w:color="auto" w:fill="17375E"/>
            <w:vAlign w:val="center"/>
          </w:tcPr>
          <w:p>
            <w:pPr>
              <w:spacing w:after="20" w:line="240" w:lineRule="auto"/>
            </w:pPr>
            <w:r>
              <w:rPr>
                <w:b/>
              </w:rPr>
            </w:r>
            <w:r>
              <w:rPr>
                <w:b/>
                <w:color w:val="FFFFFF"/>
                <w:sz w:val="18"/>
              </w:rPr>
              <w:t>Company response time (example)</w:t>
            </w:r>
          </w:p>
        </w:tc>
      </w:tr>
      <w:tr>
        <w:trPr>
          <w:cantSplit w:val="true"/>
        </w:trPr>
        <w:tc>
          <w:tcPr>
            <w:tcW w:type="dxa" w:w="1152"/>
            <w:shd w:val="clear" w:color="auto" w:fill="DCE6F1"/>
          </w:tcPr>
          <w:p>
            <w:pPr>
              <w:spacing w:after="20" w:line="240" w:lineRule="auto"/>
            </w:pPr>
            <w:r>
              <w:rPr>
                <w:b/>
              </w:rPr>
            </w:r>
            <w:r>
              <w:rPr>
                <w:b/>
                <w:sz w:val="18"/>
              </w:rPr>
              <w:t>A</w:t>
            </w:r>
          </w:p>
        </w:tc>
        <w:tc>
          <w:tcPr>
            <w:tcW w:type="dxa" w:w="1728"/>
          </w:tcPr>
          <w:p>
            <w:pPr>
              <w:spacing w:after="20" w:line="240" w:lineRule="auto"/>
            </w:pPr>
            <w:r/>
            <w:r>
              <w:rPr>
                <w:b w:val="0"/>
                <w:sz w:val="18"/>
              </w:rPr>
              <w:t>20 to 25</w:t>
            </w:r>
          </w:p>
        </w:tc>
        <w:tc>
          <w:tcPr>
            <w:tcW w:type="dxa" w:w="6480"/>
          </w:tcPr>
          <w:p>
            <w:pPr>
              <w:spacing w:after="20" w:line="240" w:lineRule="auto"/>
            </w:pPr>
            <w:r/>
            <w:r>
              <w:rPr>
                <w:b w:val="0"/>
                <w:sz w:val="18"/>
              </w:rPr>
              <w:t>Board convenes within 5 working days; action decision recorded within 15 calendar days</w:t>
            </w:r>
          </w:p>
        </w:tc>
      </w:tr>
      <w:tr>
        <w:trPr>
          <w:cantSplit w:val="true"/>
        </w:trPr>
        <w:tc>
          <w:tcPr>
            <w:tcW w:type="dxa" w:w="1152"/>
            <w:shd w:val="clear" w:color="auto" w:fill="DCE6F1"/>
          </w:tcPr>
          <w:p>
            <w:pPr>
              <w:spacing w:after="20" w:line="240" w:lineRule="auto"/>
            </w:pPr>
            <w:r>
              <w:rPr>
                <w:b/>
              </w:rPr>
            </w:r>
            <w:r>
              <w:rPr>
                <w:b/>
                <w:sz w:val="18"/>
              </w:rPr>
              <w:t>B</w:t>
            </w:r>
          </w:p>
        </w:tc>
        <w:tc>
          <w:tcPr>
            <w:tcW w:type="dxa" w:w="1728"/>
          </w:tcPr>
          <w:p>
            <w:pPr>
              <w:spacing w:after="20" w:line="240" w:lineRule="auto"/>
            </w:pPr>
            <w:r/>
            <w:r>
              <w:rPr>
                <w:b w:val="0"/>
                <w:sz w:val="18"/>
              </w:rPr>
              <w:t>14 to 19</w:t>
            </w:r>
          </w:p>
        </w:tc>
        <w:tc>
          <w:tcPr>
            <w:tcW w:type="dxa" w:w="6480"/>
          </w:tcPr>
          <w:p>
            <w:pPr>
              <w:spacing w:after="20" w:line="240" w:lineRule="auto"/>
            </w:pPr>
            <w:r/>
            <w:r>
              <w:rPr>
                <w:b w:val="0"/>
                <w:sz w:val="18"/>
              </w:rPr>
              <w:t>Assessment plan within 30 days; decision within 90 days</w:t>
            </w:r>
          </w:p>
        </w:tc>
      </w:tr>
      <w:tr>
        <w:trPr>
          <w:cantSplit w:val="true"/>
        </w:trPr>
        <w:tc>
          <w:tcPr>
            <w:tcW w:type="dxa" w:w="1152"/>
            <w:shd w:val="clear" w:color="auto" w:fill="DCE6F1"/>
          </w:tcPr>
          <w:p>
            <w:pPr>
              <w:spacing w:after="20" w:line="240" w:lineRule="auto"/>
            </w:pPr>
            <w:r>
              <w:rPr>
                <w:b/>
              </w:rPr>
            </w:r>
            <w:r>
              <w:rPr>
                <w:b/>
                <w:sz w:val="18"/>
              </w:rPr>
              <w:t>C</w:t>
            </w:r>
          </w:p>
        </w:tc>
        <w:tc>
          <w:tcPr>
            <w:tcW w:type="dxa" w:w="1728"/>
          </w:tcPr>
          <w:p>
            <w:pPr>
              <w:spacing w:after="20" w:line="240" w:lineRule="auto"/>
            </w:pPr>
            <w:r/>
            <w:r>
              <w:rPr>
                <w:b w:val="0"/>
                <w:sz w:val="18"/>
              </w:rPr>
              <w:t>5 to 13</w:t>
            </w:r>
          </w:p>
        </w:tc>
        <w:tc>
          <w:tcPr>
            <w:tcW w:type="dxa" w:w="6480"/>
          </w:tcPr>
          <w:p>
            <w:pPr>
              <w:spacing w:after="20" w:line="240" w:lineRule="auto"/>
            </w:pPr>
            <w:r/>
            <w:r>
              <w:rPr>
                <w:b w:val="0"/>
                <w:sz w:val="18"/>
              </w:rPr>
              <w:t>Review at the next scheduled trend meeting</w:t>
            </w:r>
          </w:p>
        </w:tc>
      </w:tr>
    </w:tbl>
    <w:p>
      <w:pPr>
        <w:spacing w:after="160"/>
      </w:pPr>
      <w:r>
        <w:rPr>
          <w:i/>
          <w:color w:val="595959"/>
          <w:sz w:val="17"/>
        </w:rPr>
        <w:t>Company timelines sit beside the legal reporting clocks and never extend them.</w:t>
      </w:r>
    </w:p>
    <w:p>
      <w:pPr>
        <w:pStyle w:val="ListBullet"/>
        <w:spacing w:after="40"/>
      </w:pPr>
      <w:r>
        <w:rPr>
          <w:b/>
        </w:rPr>
        <w:t>Floor rule:</w:t>
      </w:r>
      <w:r>
        <w:rPr>
          <w:b w:val="0"/>
        </w:rPr>
        <w:t xml:space="preserve"> any signal with severity 5 and detectability 4 or 5 is placed in Band B at least.</w:t>
      </w:r>
    </w:p>
    <w:p>
      <w:pPr>
        <w:pStyle w:val="ListBullet"/>
        <w:spacing w:after="40"/>
      </w:pPr>
      <w:r>
        <w:rPr>
          <w:b/>
        </w:rPr>
        <w:t>Urgency triggers (any one → Band A regardless of score):</w:t>
      </w:r>
      <w:r>
        <w:rPr>
          <w:b w:val="0"/>
        </w:rPr>
        <w:t xml:space="preserve"> a death possibly linked to the device; an enquiry from a competent authority or FDA; a competitor FSCA for the same mechanism; media attention; bench reproduction of a hazardous failure with no available mitigation.</w:t>
      </w:r>
    </w:p>
    <w:p>
      <w:pPr>
        <w:pStyle w:val="ListBullet"/>
        <w:spacing w:after="40"/>
      </w:pPr>
      <w:r>
        <w:rPr>
          <w:b/>
        </w:rPr>
        <w:t>Overrides:</w:t>
      </w:r>
      <w:r>
        <w:rPr>
          <w:b w:val="0"/>
        </w:rPr>
        <w:t xml:space="preserve"> the board may move a signal one band up or down. Up needs a written reason. Down needs a written reason and the chair's signature.</w:t>
      </w:r>
    </w:p>
    <w:p>
      <w:r>
        <w:br w:type="page"/>
      </w:r>
    </w:p>
    <w:p>
      <w:pPr>
        <w:pStyle w:val="Heading1"/>
      </w:pPr>
      <w:r>
        <w:t>Scoring worksheet</w:t>
      </w:r>
    </w:p>
    <w:p>
      <w:pPr>
        <w:pStyle w:val="Heading2"/>
      </w:pPr>
      <w:r>
        <w:t>Part 1 — Signal identification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76"/>
        <w:gridCol w:w="2304"/>
        <w:gridCol w:w="2376"/>
      </w:tblGrid>
      <w:tr>
        <w:trPr>
          <w:trHeight w:val="432" w:hRule="atLeast"/>
        </w:trPr>
        <w:tc>
          <w:tcPr>
            <w:tcW w:type="dxa" w:w="2304"/>
            <w:shd w:val="clear" w:color="auto" w:fill="DCE6F1"/>
          </w:tcPr>
          <w:p>
            <w:pPr>
              <w:spacing w:after="20" w:line="240" w:lineRule="auto"/>
            </w:pPr>
            <w:r>
              <w:rPr>
                <w:b/>
              </w:rPr>
            </w:r>
            <w:r>
              <w:rPr>
                <w:b/>
                <w:sz w:val="18"/>
              </w:rPr>
              <w:t>Signal record number</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Device</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Model or version</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Data cut</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Scoring occasion (validation / re-score)</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Date</w:t>
            </w:r>
          </w:p>
        </w:tc>
        <w:tc>
          <w:tcPr>
            <w:tcW w:type="dxa" w:w="2376"/>
          </w:tcPr>
          <w:p>
            <w:pPr>
              <w:spacing w:after="20" w:line="240" w:lineRule="auto"/>
            </w:pPr>
            <w:r/>
          </w:p>
        </w:tc>
      </w:tr>
    </w:tbl>
    <w:p>
      <w:pPr>
        <w:spacing w:after="0" w:before="0" w:line="80" w:lineRule="exact"/>
      </w:pPr>
      <w:r>
        <w:rPr>
          <w:sz w:val="8"/>
        </w:rPr>
      </w:r>
    </w:p>
    <w:p>
      <w:pPr>
        <w:pStyle w:val="Heading2"/>
      </w:pPr>
      <w:r>
        <w:t>Part 2 — Scores (two independent reviewers)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1007"/>
        <w:gridCol w:w="1007"/>
        <w:gridCol w:w="864"/>
        <w:gridCol w:w="4175"/>
      </w:tblGrid>
      <w:tr>
        <w:trPr>
          <w:tblHeader w:val="true"/>
          <w:cantSplit w:val="true"/>
        </w:trPr>
        <w:tc>
          <w:tcPr>
            <w:tcW w:type="dxa" w:w="2304"/>
            <w:shd w:val="clear" w:color="auto" w:fill="17375E"/>
            <w:vAlign w:val="center"/>
          </w:tcPr>
          <w:p>
            <w:pPr>
              <w:spacing w:after="20" w:line="240" w:lineRule="auto"/>
            </w:pPr>
            <w:r>
              <w:rPr>
                <w:b/>
              </w:rPr>
            </w:r>
            <w:r>
              <w:rPr>
                <w:b/>
                <w:color w:val="FFFFFF"/>
                <w:sz w:val="18"/>
              </w:rPr>
              <w:t>Domain</w:t>
            </w:r>
          </w:p>
        </w:tc>
        <w:tc>
          <w:tcPr>
            <w:tcW w:type="dxa" w:w="1008"/>
            <w:shd w:val="clear" w:color="auto" w:fill="17375E"/>
            <w:vAlign w:val="center"/>
          </w:tcPr>
          <w:p>
            <w:pPr>
              <w:spacing w:after="20" w:line="240" w:lineRule="auto"/>
            </w:pPr>
            <w:r>
              <w:rPr>
                <w:b/>
              </w:rPr>
            </w:r>
            <w:r>
              <w:rPr>
                <w:b/>
                <w:color w:val="FFFFFF"/>
                <w:sz w:val="18"/>
              </w:rPr>
              <w:t>Reviewer 1</w:t>
            </w:r>
          </w:p>
        </w:tc>
        <w:tc>
          <w:tcPr>
            <w:tcW w:type="dxa" w:w="1008"/>
            <w:shd w:val="clear" w:color="auto" w:fill="17375E"/>
            <w:vAlign w:val="center"/>
          </w:tcPr>
          <w:p>
            <w:pPr>
              <w:spacing w:after="20" w:line="240" w:lineRule="auto"/>
            </w:pPr>
            <w:r>
              <w:rPr>
                <w:b/>
              </w:rPr>
            </w:r>
            <w:r>
              <w:rPr>
                <w:b/>
                <w:color w:val="FFFFFF"/>
                <w:sz w:val="18"/>
              </w:rPr>
              <w:t>Reviewer 2</w:t>
            </w:r>
          </w:p>
        </w:tc>
        <w:tc>
          <w:tcPr>
            <w:tcW w:type="dxa" w:w="864"/>
            <w:shd w:val="clear" w:color="auto" w:fill="17375E"/>
            <w:vAlign w:val="center"/>
          </w:tcPr>
          <w:p>
            <w:pPr>
              <w:spacing w:after="20" w:line="240" w:lineRule="auto"/>
            </w:pPr>
            <w:r>
              <w:rPr>
                <w:b/>
              </w:rPr>
            </w:r>
            <w:r>
              <w:rPr>
                <w:b/>
                <w:color w:val="FFFFFF"/>
                <w:sz w:val="18"/>
              </w:rPr>
              <w:t>Agreed</w:t>
            </w:r>
          </w:p>
        </w:tc>
        <w:tc>
          <w:tcPr>
            <w:tcW w:type="dxa" w:w="4176"/>
            <w:shd w:val="clear" w:color="auto" w:fill="17375E"/>
            <w:vAlign w:val="center"/>
          </w:tcPr>
          <w:p>
            <w:pPr>
              <w:spacing w:after="20" w:line="240" w:lineRule="auto"/>
            </w:pPr>
            <w:r>
              <w:rPr>
                <w:b/>
              </w:rPr>
            </w:r>
            <w:r>
              <w:rPr>
                <w:b/>
                <w:color w:val="FFFFFF"/>
                <w:sz w:val="18"/>
              </w:rPr>
              <w:t>Rationale (mandatory) and risk file reference</w:t>
            </w:r>
          </w:p>
        </w:tc>
      </w:tr>
      <w:tr>
        <w:trPr>
          <w:cantSplit w:val="true"/>
        </w:trPr>
        <w:tc>
          <w:tcPr>
            <w:tcW w:type="dxa" w:w="2304"/>
            <w:shd w:val="clear" w:color="auto" w:fill="DCE6F1"/>
          </w:tcPr>
          <w:p>
            <w:pPr>
              <w:spacing w:after="20" w:line="240" w:lineRule="auto"/>
            </w:pPr>
            <w:r>
              <w:rPr>
                <w:b/>
              </w:rPr>
            </w:r>
            <w:r>
              <w:rPr>
                <w:b/>
                <w:sz w:val="18"/>
              </w:rPr>
              <w:t>Severity</w:t>
            </w:r>
          </w:p>
        </w:tc>
        <w:tc>
          <w:tcPr>
            <w:tcW w:type="dxa" w:w="1008"/>
          </w:tcPr>
          <w:p>
            <w:pPr>
              <w:spacing w:after="20" w:line="240" w:lineRule="auto"/>
            </w:pPr>
            <w:r/>
          </w:p>
        </w:tc>
        <w:tc>
          <w:tcPr>
            <w:tcW w:type="dxa" w:w="1008"/>
          </w:tcPr>
          <w:p>
            <w:pPr>
              <w:spacing w:after="20" w:line="240" w:lineRule="auto"/>
            </w:pPr>
            <w:r/>
          </w:p>
        </w:tc>
        <w:tc>
          <w:tcPr>
            <w:tcW w:type="dxa" w:w="864"/>
          </w:tcPr>
          <w:p>
            <w:pPr>
              <w:spacing w:after="20" w:line="240" w:lineRule="auto"/>
            </w:pPr>
            <w:r/>
          </w:p>
        </w:tc>
        <w:tc>
          <w:tcPr>
            <w:tcW w:type="dxa" w:w="4176"/>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Probability change</w:t>
            </w:r>
          </w:p>
        </w:tc>
        <w:tc>
          <w:tcPr>
            <w:tcW w:type="dxa" w:w="1008"/>
          </w:tcPr>
          <w:p>
            <w:pPr>
              <w:spacing w:after="20" w:line="240" w:lineRule="auto"/>
            </w:pPr>
            <w:r/>
          </w:p>
        </w:tc>
        <w:tc>
          <w:tcPr>
            <w:tcW w:type="dxa" w:w="1008"/>
          </w:tcPr>
          <w:p>
            <w:pPr>
              <w:spacing w:after="20" w:line="240" w:lineRule="auto"/>
            </w:pPr>
            <w:r/>
          </w:p>
        </w:tc>
        <w:tc>
          <w:tcPr>
            <w:tcW w:type="dxa" w:w="864"/>
          </w:tcPr>
          <w:p>
            <w:pPr>
              <w:spacing w:after="20" w:line="240" w:lineRule="auto"/>
            </w:pPr>
            <w:r/>
          </w:p>
        </w:tc>
        <w:tc>
          <w:tcPr>
            <w:tcW w:type="dxa" w:w="4176"/>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Exposure</w:t>
            </w:r>
          </w:p>
        </w:tc>
        <w:tc>
          <w:tcPr>
            <w:tcW w:type="dxa" w:w="1008"/>
          </w:tcPr>
          <w:p>
            <w:pPr>
              <w:spacing w:after="20" w:line="240" w:lineRule="auto"/>
            </w:pPr>
            <w:r/>
          </w:p>
        </w:tc>
        <w:tc>
          <w:tcPr>
            <w:tcW w:type="dxa" w:w="1008"/>
          </w:tcPr>
          <w:p>
            <w:pPr>
              <w:spacing w:after="20" w:line="240" w:lineRule="auto"/>
            </w:pPr>
            <w:r/>
          </w:p>
        </w:tc>
        <w:tc>
          <w:tcPr>
            <w:tcW w:type="dxa" w:w="864"/>
          </w:tcPr>
          <w:p>
            <w:pPr>
              <w:spacing w:after="20" w:line="240" w:lineRule="auto"/>
            </w:pPr>
            <w:r/>
          </w:p>
        </w:tc>
        <w:tc>
          <w:tcPr>
            <w:tcW w:type="dxa" w:w="4176"/>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Detectability (high = hard to detect)</w:t>
            </w:r>
          </w:p>
        </w:tc>
        <w:tc>
          <w:tcPr>
            <w:tcW w:type="dxa" w:w="1008"/>
          </w:tcPr>
          <w:p>
            <w:pPr>
              <w:spacing w:after="20" w:line="240" w:lineRule="auto"/>
            </w:pPr>
            <w:r/>
          </w:p>
        </w:tc>
        <w:tc>
          <w:tcPr>
            <w:tcW w:type="dxa" w:w="1008"/>
          </w:tcPr>
          <w:p>
            <w:pPr>
              <w:spacing w:after="20" w:line="240" w:lineRule="auto"/>
            </w:pPr>
            <w:r/>
          </w:p>
        </w:tc>
        <w:tc>
          <w:tcPr>
            <w:tcW w:type="dxa" w:w="864"/>
          </w:tcPr>
          <w:p>
            <w:pPr>
              <w:spacing w:after="20" w:line="240" w:lineRule="auto"/>
            </w:pPr>
            <w:r/>
          </w:p>
        </w:tc>
        <w:tc>
          <w:tcPr>
            <w:tcW w:type="dxa" w:w="4176"/>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Vulnerability</w:t>
            </w:r>
          </w:p>
        </w:tc>
        <w:tc>
          <w:tcPr>
            <w:tcW w:type="dxa" w:w="1008"/>
          </w:tcPr>
          <w:p>
            <w:pPr>
              <w:spacing w:after="20" w:line="240" w:lineRule="auto"/>
            </w:pPr>
            <w:r/>
          </w:p>
        </w:tc>
        <w:tc>
          <w:tcPr>
            <w:tcW w:type="dxa" w:w="1008"/>
          </w:tcPr>
          <w:p>
            <w:pPr>
              <w:spacing w:after="20" w:line="240" w:lineRule="auto"/>
            </w:pPr>
            <w:r/>
          </w:p>
        </w:tc>
        <w:tc>
          <w:tcPr>
            <w:tcW w:type="dxa" w:w="864"/>
          </w:tcPr>
          <w:p>
            <w:pPr>
              <w:spacing w:after="20" w:line="240" w:lineRule="auto"/>
            </w:pPr>
            <w:r/>
          </w:p>
        </w:tc>
        <w:tc>
          <w:tcPr>
            <w:tcW w:type="dxa" w:w="4176"/>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Total (5–25)</w:t>
            </w:r>
          </w:p>
        </w:tc>
        <w:tc>
          <w:tcPr>
            <w:tcW w:type="dxa" w:w="1008"/>
          </w:tcPr>
          <w:p>
            <w:pPr>
              <w:spacing w:after="20" w:line="240" w:lineRule="auto"/>
            </w:pPr>
            <w:r/>
          </w:p>
        </w:tc>
        <w:tc>
          <w:tcPr>
            <w:tcW w:type="dxa" w:w="1008"/>
          </w:tcPr>
          <w:p>
            <w:pPr>
              <w:spacing w:after="20" w:line="240" w:lineRule="auto"/>
            </w:pPr>
            <w:r/>
          </w:p>
        </w:tc>
        <w:tc>
          <w:tcPr>
            <w:tcW w:type="dxa" w:w="864"/>
          </w:tcPr>
          <w:p>
            <w:pPr>
              <w:spacing w:after="20" w:line="240" w:lineRule="auto"/>
            </w:pPr>
            <w:r/>
          </w:p>
        </w:tc>
        <w:tc>
          <w:tcPr>
            <w:tcW w:type="dxa" w:w="4176"/>
          </w:tcPr>
          <w:p>
            <w:pPr>
              <w:spacing w:after="20" w:line="240" w:lineRule="auto"/>
            </w:pPr>
            <w:r/>
          </w:p>
        </w:tc>
      </w:tr>
    </w:tbl>
    <w:p>
      <w:pPr>
        <w:spacing w:after="0" w:before="0" w:line="80" w:lineRule="exact"/>
      </w:pPr>
      <w:r>
        <w:rPr>
          <w:sz w:val="8"/>
        </w:rPr>
      </w:r>
    </w:p>
    <w:p>
      <w:r>
        <w:rPr>
          <w:b w:val="0"/>
          <w:i/>
          <w:color w:val="595959"/>
          <w:sz w:val="18"/>
        </w:rPr>
        <w:t>Any domain where the reviewers differ by more than one point is discussed and the agreed value recorded.</w:t>
      </w:r>
    </w:p>
    <w:p>
      <w:pPr>
        <w:pStyle w:val="Heading2"/>
      </w:pPr>
      <w:r>
        <w:t>Part 3 — Rules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744"/>
        <w:gridCol w:w="5616"/>
      </w:tblGrid>
      <w:tr>
        <w:trPr>
          <w:cantSplit w:val="true"/>
          <w:trHeight w:val="504" w:hRule="atLeast"/>
        </w:trPr>
        <w:tc>
          <w:tcPr>
            <w:tcW w:type="dxa" w:w="3744"/>
            <w:shd w:val="clear" w:color="auto" w:fill="DCE6F1"/>
          </w:tcPr>
          <w:p>
            <w:pPr>
              <w:spacing w:after="20" w:line="240" w:lineRule="auto"/>
            </w:pPr>
            <w:r>
              <w:rPr>
                <w:b/>
              </w:rPr>
            </w:r>
            <w:r>
              <w:rPr>
                <w:b/>
                <w:sz w:val="18"/>
              </w:rPr>
              <w:t>Total and band</w:t>
            </w:r>
          </w:p>
        </w:tc>
        <w:tc>
          <w:tcPr>
            <w:tcW w:type="dxa" w:w="5616"/>
          </w:tcPr>
          <w:p>
            <w:pPr>
              <w:spacing w:after="20" w:line="240" w:lineRule="auto"/>
            </w:pPr>
            <w:r/>
          </w:p>
        </w:tc>
      </w:tr>
      <w:tr>
        <w:trPr>
          <w:cantSplit w:val="true"/>
          <w:trHeight w:val="504" w:hRule="atLeast"/>
        </w:trPr>
        <w:tc>
          <w:tcPr>
            <w:tcW w:type="dxa" w:w="3744"/>
            <w:shd w:val="clear" w:color="auto" w:fill="DCE6F1"/>
          </w:tcPr>
          <w:p>
            <w:pPr>
              <w:spacing w:after="20" w:line="240" w:lineRule="auto"/>
            </w:pPr>
            <w:r>
              <w:rPr>
                <w:b/>
              </w:rPr>
            </w:r>
            <w:r>
              <w:rPr>
                <w:b/>
                <w:sz w:val="18"/>
              </w:rPr>
              <w:t>Floor rule applied? (severity 5 with detectability 4–5 → Band B minimum)</w:t>
            </w:r>
          </w:p>
        </w:tc>
        <w:tc>
          <w:tcPr>
            <w:tcW w:type="dxa" w:w="5616"/>
          </w:tcPr>
          <w:p>
            <w:pPr>
              <w:spacing w:after="20" w:line="240" w:lineRule="auto"/>
            </w:pPr>
            <w:r/>
          </w:p>
        </w:tc>
      </w:tr>
      <w:tr>
        <w:trPr>
          <w:cantSplit w:val="true"/>
          <w:trHeight w:val="504" w:hRule="atLeast"/>
        </w:trPr>
        <w:tc>
          <w:tcPr>
            <w:tcW w:type="dxa" w:w="3744"/>
            <w:shd w:val="clear" w:color="auto" w:fill="DCE6F1"/>
          </w:tcPr>
          <w:p>
            <w:pPr>
              <w:spacing w:after="20" w:line="240" w:lineRule="auto"/>
            </w:pPr>
            <w:r>
              <w:rPr>
                <w:b/>
              </w:rPr>
            </w:r>
            <w:r>
              <w:rPr>
                <w:b/>
                <w:sz w:val="18"/>
              </w:rPr>
              <w:t>Urgency triggers (death possibly linked; authority/FDA enquiry; competitor FSCA; media; bench reproduction without mitigation)</w:t>
            </w:r>
          </w:p>
        </w:tc>
        <w:tc>
          <w:tcPr>
            <w:tcW w:type="dxa" w:w="5616"/>
          </w:tcPr>
          <w:p>
            <w:pPr>
              <w:spacing w:after="20" w:line="240" w:lineRule="auto"/>
            </w:pPr>
            <w:r/>
          </w:p>
        </w:tc>
      </w:tr>
      <w:tr>
        <w:trPr>
          <w:cantSplit w:val="true"/>
          <w:trHeight w:val="504" w:hRule="atLeast"/>
        </w:trPr>
        <w:tc>
          <w:tcPr>
            <w:tcW w:type="dxa" w:w="3744"/>
            <w:shd w:val="clear" w:color="auto" w:fill="DCE6F1"/>
          </w:tcPr>
          <w:p>
            <w:pPr>
              <w:spacing w:after="20" w:line="240" w:lineRule="auto"/>
            </w:pPr>
            <w:r>
              <w:rPr>
                <w:b/>
              </w:rPr>
            </w:r>
            <w:r>
              <w:rPr>
                <w:b/>
                <w:sz w:val="18"/>
              </w:rPr>
              <w:t>Response time</w:t>
            </w:r>
          </w:p>
        </w:tc>
        <w:tc>
          <w:tcPr>
            <w:tcW w:type="dxa" w:w="5616"/>
          </w:tcPr>
          <w:p>
            <w:pPr>
              <w:spacing w:after="20" w:line="240" w:lineRule="auto"/>
            </w:pPr>
            <w:r/>
          </w:p>
        </w:tc>
      </w:tr>
      <w:tr>
        <w:trPr>
          <w:cantSplit w:val="true"/>
          <w:trHeight w:val="504" w:hRule="atLeast"/>
        </w:trPr>
        <w:tc>
          <w:tcPr>
            <w:tcW w:type="dxa" w:w="3744"/>
            <w:shd w:val="clear" w:color="auto" w:fill="DCE6F1"/>
          </w:tcPr>
          <w:p>
            <w:pPr>
              <w:spacing w:after="20" w:line="240" w:lineRule="auto"/>
            </w:pPr>
            <w:r>
              <w:rPr>
                <w:b/>
              </w:rPr>
            </w:r>
            <w:r>
              <w:rPr>
                <w:b/>
                <w:sz w:val="18"/>
              </w:rPr>
              <w:t>Sensitivity check (could a disputed score change the band?)</w:t>
            </w:r>
          </w:p>
        </w:tc>
        <w:tc>
          <w:tcPr>
            <w:tcW w:type="dxa" w:w="5616"/>
          </w:tcPr>
          <w:p>
            <w:pPr>
              <w:spacing w:after="20" w:line="240" w:lineRule="auto"/>
            </w:pPr>
            <w:r/>
          </w:p>
        </w:tc>
      </w:tr>
    </w:tbl>
    <w:p>
      <w:pPr>
        <w:spacing w:after="0" w:before="0" w:line="80" w:lineRule="exact"/>
      </w:pPr>
      <w:r>
        <w:rPr>
          <w:sz w:val="8"/>
        </w:rPr>
      </w:r>
    </w:p>
    <w:p>
      <w:pPr>
        <w:pStyle w:val="Heading2"/>
      </w:pPr>
      <w:r>
        <w:t>Part 4 — Override</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744"/>
        <w:gridCol w:w="5616"/>
      </w:tblGrid>
      <w:tr>
        <w:trPr>
          <w:cantSplit w:val="true"/>
          <w:trHeight w:val="504" w:hRule="atLeast"/>
        </w:trPr>
        <w:tc>
          <w:tcPr>
            <w:tcW w:type="dxa" w:w="3744"/>
            <w:shd w:val="clear" w:color="auto" w:fill="DCE6F1"/>
          </w:tcPr>
          <w:p>
            <w:pPr>
              <w:spacing w:after="20" w:line="240" w:lineRule="auto"/>
            </w:pPr>
            <w:r>
              <w:rPr>
                <w:b/>
              </w:rPr>
            </w:r>
            <w:r>
              <w:rPr>
                <w:b/>
                <w:sz w:val="18"/>
              </w:rPr>
              <w:t>Direction (none / up one band / down one band)</w:t>
            </w:r>
          </w:p>
        </w:tc>
        <w:tc>
          <w:tcPr>
            <w:tcW w:type="dxa" w:w="5616"/>
          </w:tcPr>
          <w:p>
            <w:pPr>
              <w:spacing w:after="20" w:line="240" w:lineRule="auto"/>
            </w:pPr>
            <w:r/>
          </w:p>
        </w:tc>
      </w:tr>
      <w:tr>
        <w:trPr>
          <w:cantSplit w:val="true"/>
          <w:trHeight w:val="504" w:hRule="atLeast"/>
        </w:trPr>
        <w:tc>
          <w:tcPr>
            <w:tcW w:type="dxa" w:w="3744"/>
            <w:shd w:val="clear" w:color="auto" w:fill="DCE6F1"/>
          </w:tcPr>
          <w:p>
            <w:pPr>
              <w:spacing w:after="20" w:line="240" w:lineRule="auto"/>
            </w:pPr>
            <w:r>
              <w:rPr>
                <w:b/>
              </w:rPr>
            </w:r>
            <w:r>
              <w:rPr>
                <w:b/>
                <w:sz w:val="18"/>
              </w:rPr>
              <w:t>Reason (written; required for any override)</w:t>
            </w:r>
          </w:p>
        </w:tc>
        <w:tc>
          <w:tcPr>
            <w:tcW w:type="dxa" w:w="5616"/>
          </w:tcPr>
          <w:p>
            <w:pPr>
              <w:spacing w:after="20" w:line="240" w:lineRule="auto"/>
            </w:pPr>
            <w:r/>
          </w:p>
        </w:tc>
      </w:tr>
      <w:tr>
        <w:trPr>
          <w:cantSplit w:val="true"/>
          <w:trHeight w:val="504" w:hRule="atLeast"/>
        </w:trPr>
        <w:tc>
          <w:tcPr>
            <w:tcW w:type="dxa" w:w="3744"/>
            <w:shd w:val="clear" w:color="auto" w:fill="DCE6F1"/>
          </w:tcPr>
          <w:p>
            <w:pPr>
              <w:spacing w:after="20" w:line="240" w:lineRule="auto"/>
            </w:pPr>
            <w:r>
              <w:rPr>
                <w:b/>
              </w:rPr>
            </w:r>
            <w:r>
              <w:rPr>
                <w:b/>
                <w:sz w:val="18"/>
              </w:rPr>
              <w:t>Chair signature (required for a downward override) and date</w:t>
            </w:r>
          </w:p>
        </w:tc>
        <w:tc>
          <w:tcPr>
            <w:tcW w:type="dxa" w:w="5616"/>
          </w:tcPr>
          <w:p>
            <w:pPr>
              <w:spacing w:after="20" w:line="240" w:lineRule="auto"/>
            </w:pPr>
            <w:r/>
          </w:p>
        </w:tc>
      </w:tr>
      <w:tr>
        <w:trPr>
          <w:cantSplit w:val="true"/>
          <w:trHeight w:val="504" w:hRule="atLeast"/>
        </w:trPr>
        <w:tc>
          <w:tcPr>
            <w:tcW w:type="dxa" w:w="3744"/>
            <w:shd w:val="clear" w:color="auto" w:fill="DCE6F1"/>
          </w:tcPr>
          <w:p>
            <w:pPr>
              <w:spacing w:after="20" w:line="240" w:lineRule="auto"/>
            </w:pPr>
            <w:r>
              <w:rPr>
                <w:b/>
              </w:rPr>
            </w:r>
            <w:r>
              <w:rPr>
                <w:b/>
                <w:sz w:val="18"/>
              </w:rPr>
              <w:t>Reviewers</w:t>
            </w:r>
          </w:p>
        </w:tc>
        <w:tc>
          <w:tcPr>
            <w:tcW w:type="dxa" w:w="5616"/>
          </w:tcPr>
          <w:p>
            <w:pPr>
              <w:spacing w:after="20" w:line="240" w:lineRule="auto"/>
            </w:pPr>
            <w:r/>
          </w:p>
        </w:tc>
      </w:tr>
    </w:tbl>
    <w:p>
      <w:pPr>
        <w:spacing w:after="0" w:before="0" w:line="80" w:lineRule="exact"/>
      </w:pPr>
      <w:r>
        <w:rPr>
          <w:sz w:val="8"/>
        </w:rPr>
      </w:r>
    </w:p>
    <w:p>
      <w:pPr>
        <w:pStyle w:val="Heading2"/>
      </w:pPr>
      <w:r>
        <w:t>Re-score log</w:t>
      </w:r>
    </w:p>
    <w:tbl>
      <w:tblPr>
        <w:tblW w:type="dxa" w:w="9359"/>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152"/>
        <w:gridCol w:w="3744"/>
        <w:gridCol w:w="1727"/>
        <w:gridCol w:w="1583"/>
        <w:gridCol w:w="1152"/>
      </w:tblGrid>
      <w:tr>
        <w:trPr>
          <w:tblHeader w:val="true"/>
          <w:cantSplit w:val="true"/>
        </w:trPr>
        <w:tc>
          <w:tcPr>
            <w:tcW w:type="dxa" w:w="1152"/>
            <w:shd w:val="clear" w:color="auto" w:fill="17375E"/>
            <w:vAlign w:val="center"/>
          </w:tcPr>
          <w:p>
            <w:pPr>
              <w:spacing w:after="20" w:line="240" w:lineRule="auto"/>
            </w:pPr>
            <w:r>
              <w:rPr>
                <w:b/>
              </w:rPr>
            </w:r>
            <w:r>
              <w:rPr>
                <w:b/>
                <w:color w:val="FFFFFF"/>
                <w:sz w:val="18"/>
              </w:rPr>
              <w:t>Date</w:t>
            </w:r>
          </w:p>
        </w:tc>
        <w:tc>
          <w:tcPr>
            <w:tcW w:type="dxa" w:w="3744"/>
            <w:shd w:val="clear" w:color="auto" w:fill="17375E"/>
            <w:vAlign w:val="center"/>
          </w:tcPr>
          <w:p>
            <w:pPr>
              <w:spacing w:after="20" w:line="240" w:lineRule="auto"/>
            </w:pPr>
            <w:r>
              <w:rPr>
                <w:b/>
              </w:rPr>
            </w:r>
            <w:r>
              <w:rPr>
                <w:b/>
                <w:color w:val="FFFFFF"/>
                <w:sz w:val="18"/>
              </w:rPr>
              <w:t>Reason for re-score (new data, interim action)</w:t>
            </w:r>
          </w:p>
        </w:tc>
        <w:tc>
          <w:tcPr>
            <w:tcW w:type="dxa" w:w="1728"/>
            <w:shd w:val="clear" w:color="auto" w:fill="17375E"/>
            <w:vAlign w:val="center"/>
          </w:tcPr>
          <w:p>
            <w:pPr>
              <w:spacing w:after="20" w:line="240" w:lineRule="auto"/>
            </w:pPr>
            <w:r>
              <w:rPr>
                <w:b/>
              </w:rPr>
            </w:r>
            <w:r>
              <w:rPr>
                <w:b/>
                <w:color w:val="FFFFFF"/>
                <w:sz w:val="18"/>
              </w:rPr>
              <w:t>S / P / E / D / V</w:t>
            </w:r>
          </w:p>
        </w:tc>
        <w:tc>
          <w:tcPr>
            <w:tcW w:type="dxa" w:w="1584"/>
            <w:shd w:val="clear" w:color="auto" w:fill="17375E"/>
            <w:vAlign w:val="center"/>
          </w:tcPr>
          <w:p>
            <w:pPr>
              <w:spacing w:after="20" w:line="240" w:lineRule="auto"/>
            </w:pPr>
            <w:r>
              <w:rPr>
                <w:b/>
              </w:rPr>
            </w:r>
            <w:r>
              <w:rPr>
                <w:b/>
                <w:color w:val="FFFFFF"/>
                <w:sz w:val="18"/>
              </w:rPr>
              <w:t>Total and band</w:t>
            </w:r>
          </w:p>
        </w:tc>
        <w:tc>
          <w:tcPr>
            <w:tcW w:type="dxa" w:w="1152"/>
            <w:shd w:val="clear" w:color="auto" w:fill="17375E"/>
            <w:vAlign w:val="center"/>
          </w:tcPr>
          <w:p>
            <w:pPr>
              <w:spacing w:after="20" w:line="240" w:lineRule="auto"/>
            </w:pPr>
            <w:r>
              <w:rPr>
                <w:b/>
              </w:rPr>
            </w:r>
            <w:r>
              <w:rPr>
                <w:b/>
                <w:color w:val="FFFFFF"/>
                <w:sz w:val="18"/>
              </w:rPr>
              <w:t>Initials</w:t>
            </w:r>
          </w:p>
        </w:tc>
      </w:tr>
      <w:tr>
        <w:trPr>
          <w:cantSplit w:val="true"/>
          <w:trHeight w:val="461" w:hRule="atLeast"/>
        </w:trPr>
        <w:tc>
          <w:tcPr>
            <w:tcW w:type="dxa" w:w="1152"/>
          </w:tcPr>
          <w:p>
            <w:pPr>
              <w:spacing w:after="20" w:line="240" w:lineRule="auto"/>
            </w:pPr>
            <w:r/>
          </w:p>
        </w:tc>
        <w:tc>
          <w:tcPr>
            <w:tcW w:type="dxa" w:w="3744"/>
          </w:tcPr>
          <w:p>
            <w:pPr>
              <w:spacing w:after="20" w:line="240" w:lineRule="auto"/>
            </w:pPr>
            <w:r/>
          </w:p>
        </w:tc>
        <w:tc>
          <w:tcPr>
            <w:tcW w:type="dxa" w:w="1728"/>
          </w:tcPr>
          <w:p>
            <w:pPr>
              <w:spacing w:after="20" w:line="240" w:lineRule="auto"/>
            </w:pPr>
            <w:r/>
          </w:p>
        </w:tc>
        <w:tc>
          <w:tcPr>
            <w:tcW w:type="dxa" w:w="1584"/>
          </w:tcPr>
          <w:p>
            <w:pPr>
              <w:spacing w:after="20" w:line="240" w:lineRule="auto"/>
            </w:pPr>
            <w:r/>
          </w:p>
        </w:tc>
        <w:tc>
          <w:tcPr>
            <w:tcW w:type="dxa" w:w="1152"/>
          </w:tcPr>
          <w:p>
            <w:pPr>
              <w:spacing w:after="20" w:line="240" w:lineRule="auto"/>
            </w:pPr>
            <w:r/>
          </w:p>
        </w:tc>
      </w:tr>
      <w:tr>
        <w:trPr>
          <w:cantSplit w:val="true"/>
          <w:trHeight w:val="461" w:hRule="atLeast"/>
        </w:trPr>
        <w:tc>
          <w:tcPr>
            <w:tcW w:type="dxa" w:w="1152"/>
          </w:tcPr>
          <w:p>
            <w:pPr>
              <w:spacing w:after="20" w:line="240" w:lineRule="auto"/>
            </w:pPr>
            <w:r/>
          </w:p>
        </w:tc>
        <w:tc>
          <w:tcPr>
            <w:tcW w:type="dxa" w:w="3744"/>
          </w:tcPr>
          <w:p>
            <w:pPr>
              <w:spacing w:after="20" w:line="240" w:lineRule="auto"/>
            </w:pPr>
            <w:r/>
          </w:p>
        </w:tc>
        <w:tc>
          <w:tcPr>
            <w:tcW w:type="dxa" w:w="1728"/>
          </w:tcPr>
          <w:p>
            <w:pPr>
              <w:spacing w:after="20" w:line="240" w:lineRule="auto"/>
            </w:pPr>
            <w:r/>
          </w:p>
        </w:tc>
        <w:tc>
          <w:tcPr>
            <w:tcW w:type="dxa" w:w="1584"/>
          </w:tcPr>
          <w:p>
            <w:pPr>
              <w:spacing w:after="20" w:line="240" w:lineRule="auto"/>
            </w:pPr>
            <w:r/>
          </w:p>
        </w:tc>
        <w:tc>
          <w:tcPr>
            <w:tcW w:type="dxa" w:w="1152"/>
          </w:tcPr>
          <w:p>
            <w:pPr>
              <w:spacing w:after="20" w:line="240" w:lineRule="auto"/>
            </w:pPr>
            <w:r/>
          </w:p>
        </w:tc>
      </w:tr>
      <w:tr>
        <w:trPr>
          <w:cantSplit w:val="true"/>
          <w:trHeight w:val="461" w:hRule="atLeast"/>
        </w:trPr>
        <w:tc>
          <w:tcPr>
            <w:tcW w:type="dxa" w:w="1152"/>
          </w:tcPr>
          <w:p>
            <w:pPr>
              <w:spacing w:after="20" w:line="240" w:lineRule="auto"/>
            </w:pPr>
            <w:r/>
          </w:p>
        </w:tc>
        <w:tc>
          <w:tcPr>
            <w:tcW w:type="dxa" w:w="3744"/>
          </w:tcPr>
          <w:p>
            <w:pPr>
              <w:spacing w:after="20" w:line="240" w:lineRule="auto"/>
            </w:pPr>
            <w:r/>
          </w:p>
        </w:tc>
        <w:tc>
          <w:tcPr>
            <w:tcW w:type="dxa" w:w="1728"/>
          </w:tcPr>
          <w:p>
            <w:pPr>
              <w:spacing w:after="20" w:line="240" w:lineRule="auto"/>
            </w:pPr>
            <w:r/>
          </w:p>
        </w:tc>
        <w:tc>
          <w:tcPr>
            <w:tcW w:type="dxa" w:w="1584"/>
          </w:tcPr>
          <w:p>
            <w:pPr>
              <w:spacing w:after="20" w:line="240" w:lineRule="auto"/>
            </w:pPr>
            <w:r/>
          </w:p>
        </w:tc>
        <w:tc>
          <w:tcPr>
            <w:tcW w:type="dxa" w:w="1152"/>
          </w:tcPr>
          <w:p>
            <w:pPr>
              <w:spacing w:after="20" w:line="240" w:lineRule="auto"/>
            </w:pPr>
            <w:r/>
          </w:p>
        </w:tc>
      </w:tr>
      <w:tr>
        <w:trPr>
          <w:cantSplit w:val="true"/>
          <w:trHeight w:val="461" w:hRule="atLeast"/>
        </w:trPr>
        <w:tc>
          <w:tcPr>
            <w:tcW w:type="dxa" w:w="1152"/>
          </w:tcPr>
          <w:p>
            <w:pPr>
              <w:spacing w:after="20" w:line="240" w:lineRule="auto"/>
            </w:pPr>
            <w:r/>
          </w:p>
        </w:tc>
        <w:tc>
          <w:tcPr>
            <w:tcW w:type="dxa" w:w="3744"/>
          </w:tcPr>
          <w:p>
            <w:pPr>
              <w:spacing w:after="20" w:line="240" w:lineRule="auto"/>
            </w:pPr>
            <w:r/>
          </w:p>
        </w:tc>
        <w:tc>
          <w:tcPr>
            <w:tcW w:type="dxa" w:w="1728"/>
          </w:tcPr>
          <w:p>
            <w:pPr>
              <w:spacing w:after="20" w:line="240" w:lineRule="auto"/>
            </w:pPr>
            <w:r/>
          </w:p>
        </w:tc>
        <w:tc>
          <w:tcPr>
            <w:tcW w:type="dxa" w:w="1584"/>
          </w:tcPr>
          <w:p>
            <w:pPr>
              <w:spacing w:after="20" w:line="240" w:lineRule="auto"/>
            </w:pPr>
            <w:r/>
          </w:p>
        </w:tc>
        <w:tc>
          <w:tcPr>
            <w:tcW w:type="dxa" w:w="1152"/>
          </w:tcPr>
          <w:p>
            <w:pPr>
              <w:spacing w:after="20" w:line="240" w:lineRule="auto"/>
            </w:pPr>
            <w:r/>
          </w:p>
        </w:tc>
      </w:tr>
    </w:tbl>
    <w:p>
      <w:pPr>
        <w:spacing w:after="0" w:before="0" w:line="80" w:lineRule="exact"/>
      </w:pPr>
      <w:r>
        <w:rPr>
          <w:sz w:val="8"/>
        </w:rPr>
      </w:r>
    </w:p>
    <w:p>
      <w:pPr>
        <w:pStyle w:val="Heading2"/>
      </w:pPr>
      <w:r>
        <w:t>Annual calibration record</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152"/>
        <w:gridCol w:w="1872"/>
        <w:gridCol w:w="1872"/>
        <w:gridCol w:w="2160"/>
        <w:gridCol w:w="2304"/>
      </w:tblGrid>
      <w:tr>
        <w:trPr>
          <w:tblHeader w:val="true"/>
          <w:cantSplit w:val="true"/>
        </w:trPr>
        <w:tc>
          <w:tcPr>
            <w:tcW w:type="dxa" w:w="1152"/>
            <w:shd w:val="clear" w:color="auto" w:fill="17375E"/>
            <w:vAlign w:val="center"/>
          </w:tcPr>
          <w:p>
            <w:pPr>
              <w:spacing w:after="20" w:line="240" w:lineRule="auto"/>
            </w:pPr>
            <w:r>
              <w:rPr>
                <w:b/>
              </w:rPr>
            </w:r>
            <w:r>
              <w:rPr>
                <w:b/>
                <w:color w:val="FFFFFF"/>
                <w:sz w:val="18"/>
              </w:rPr>
              <w:t>Date</w:t>
            </w:r>
          </w:p>
        </w:tc>
        <w:tc>
          <w:tcPr>
            <w:tcW w:type="dxa" w:w="1872"/>
            <w:shd w:val="clear" w:color="auto" w:fill="17375E"/>
            <w:vAlign w:val="center"/>
          </w:tcPr>
          <w:p>
            <w:pPr>
              <w:spacing w:after="20" w:line="240" w:lineRule="auto"/>
            </w:pPr>
            <w:r>
              <w:rPr>
                <w:b/>
              </w:rPr>
            </w:r>
            <w:r>
              <w:rPr>
                <w:b/>
                <w:color w:val="FFFFFF"/>
                <w:sz w:val="18"/>
              </w:rPr>
              <w:t>Closed signals re-scored blind (n)</w:t>
            </w:r>
          </w:p>
        </w:tc>
        <w:tc>
          <w:tcPr>
            <w:tcW w:type="dxa" w:w="1872"/>
            <w:shd w:val="clear" w:color="auto" w:fill="17375E"/>
            <w:vAlign w:val="center"/>
          </w:tcPr>
          <w:p>
            <w:pPr>
              <w:spacing w:after="20" w:line="240" w:lineRule="auto"/>
            </w:pPr>
            <w:r>
              <w:rPr>
                <w:b/>
              </w:rPr>
            </w:r>
            <w:r>
              <w:rPr>
                <w:b/>
                <w:color w:val="FFFFFF"/>
                <w:sz w:val="18"/>
              </w:rPr>
              <w:t>Reviewers</w:t>
            </w:r>
          </w:p>
        </w:tc>
        <w:tc>
          <w:tcPr>
            <w:tcW w:type="dxa" w:w="2160"/>
            <w:shd w:val="clear" w:color="auto" w:fill="17375E"/>
            <w:vAlign w:val="center"/>
          </w:tcPr>
          <w:p>
            <w:pPr>
              <w:spacing w:after="20" w:line="240" w:lineRule="auto"/>
            </w:pPr>
            <w:r>
              <w:rPr>
                <w:b/>
              </w:rPr>
            </w:r>
            <w:r>
              <w:rPr>
                <w:b/>
                <w:color w:val="FFFFFF"/>
                <w:sz w:val="18"/>
              </w:rPr>
              <w:t>Domains with poor agreement</w:t>
            </w:r>
          </w:p>
        </w:tc>
        <w:tc>
          <w:tcPr>
            <w:tcW w:type="dxa" w:w="2304"/>
            <w:shd w:val="clear" w:color="auto" w:fill="17375E"/>
            <w:vAlign w:val="center"/>
          </w:tcPr>
          <w:p>
            <w:pPr>
              <w:spacing w:after="20" w:line="240" w:lineRule="auto"/>
            </w:pPr>
            <w:r>
              <w:rPr>
                <w:b/>
              </w:rPr>
            </w:r>
            <w:r>
              <w:rPr>
                <w:b/>
                <w:color w:val="FFFFFF"/>
                <w:sz w:val="18"/>
              </w:rPr>
              <w:t>Anchor changes made</w:t>
            </w:r>
          </w:p>
        </w:tc>
      </w:tr>
      <w:tr>
        <w:trPr>
          <w:cantSplit w:val="true"/>
          <w:trHeight w:val="461" w:hRule="atLeast"/>
        </w:trPr>
        <w:tc>
          <w:tcPr>
            <w:tcW w:type="dxa" w:w="1152"/>
          </w:tcPr>
          <w:p>
            <w:pPr>
              <w:spacing w:after="20" w:line="240" w:lineRule="auto"/>
            </w:pPr>
            <w:r/>
          </w:p>
        </w:tc>
        <w:tc>
          <w:tcPr>
            <w:tcW w:type="dxa" w:w="1872"/>
          </w:tcPr>
          <w:p>
            <w:pPr>
              <w:spacing w:after="20" w:line="240" w:lineRule="auto"/>
            </w:pPr>
            <w:r/>
          </w:p>
        </w:tc>
        <w:tc>
          <w:tcPr>
            <w:tcW w:type="dxa" w:w="1872"/>
          </w:tcPr>
          <w:p>
            <w:pPr>
              <w:spacing w:after="20" w:line="240" w:lineRule="auto"/>
            </w:pPr>
            <w:r/>
          </w:p>
        </w:tc>
        <w:tc>
          <w:tcPr>
            <w:tcW w:type="dxa" w:w="2160"/>
          </w:tcPr>
          <w:p>
            <w:pPr>
              <w:spacing w:after="20" w:line="240" w:lineRule="auto"/>
            </w:pPr>
            <w:r/>
          </w:p>
        </w:tc>
        <w:tc>
          <w:tcPr>
            <w:tcW w:type="dxa" w:w="2304"/>
          </w:tcPr>
          <w:p>
            <w:pPr>
              <w:spacing w:after="20" w:line="240" w:lineRule="auto"/>
            </w:pPr>
            <w:r/>
          </w:p>
        </w:tc>
      </w:tr>
      <w:tr>
        <w:trPr>
          <w:cantSplit w:val="true"/>
          <w:trHeight w:val="461" w:hRule="atLeast"/>
        </w:trPr>
        <w:tc>
          <w:tcPr>
            <w:tcW w:type="dxa" w:w="1152"/>
          </w:tcPr>
          <w:p>
            <w:pPr>
              <w:spacing w:after="20" w:line="240" w:lineRule="auto"/>
            </w:pPr>
            <w:r/>
          </w:p>
        </w:tc>
        <w:tc>
          <w:tcPr>
            <w:tcW w:type="dxa" w:w="1872"/>
          </w:tcPr>
          <w:p>
            <w:pPr>
              <w:spacing w:after="20" w:line="240" w:lineRule="auto"/>
            </w:pPr>
            <w:r/>
          </w:p>
        </w:tc>
        <w:tc>
          <w:tcPr>
            <w:tcW w:type="dxa" w:w="1872"/>
          </w:tcPr>
          <w:p>
            <w:pPr>
              <w:spacing w:after="20" w:line="240" w:lineRule="auto"/>
            </w:pPr>
            <w:r/>
          </w:p>
        </w:tc>
        <w:tc>
          <w:tcPr>
            <w:tcW w:type="dxa" w:w="2160"/>
          </w:tcPr>
          <w:p>
            <w:pPr>
              <w:spacing w:after="20" w:line="240" w:lineRule="auto"/>
            </w:pPr>
            <w:r/>
          </w:p>
        </w:tc>
        <w:tc>
          <w:tcPr>
            <w:tcW w:type="dxa" w:w="2304"/>
          </w:tcPr>
          <w:p>
            <w:pPr>
              <w:spacing w:after="20" w:line="240" w:lineRule="auto"/>
            </w:pPr>
            <w:r/>
          </w:p>
        </w:tc>
      </w:tr>
    </w:tbl>
    <w:p>
      <w:pPr>
        <w:spacing w:after="0" w:before="0" w:line="80" w:lineRule="exact"/>
      </w:pPr>
      <w:r>
        <w:rPr>
          <w:sz w:val="8"/>
        </w:rPr>
      </w:r>
    </w:p>
    <w:p>
      <w:r>
        <w:rPr>
          <w:b w:val="0"/>
          <w:i/>
          <w:color w:val="595959"/>
          <w:sz w:val="18"/>
        </w:rPr>
        <w:t>Take ten closed signals, have two new reviewers score them blind, and compare. Record the calibration in the PMS plan.</w:t>
      </w:r>
    </w:p>
    <w:p>
      <w:pPr>
        <w:pStyle w:val="Heading1"/>
        <w:pageBreakBefore/>
      </w:pPr>
      <w:r>
        <w:t>Example (fictional case)</w:t>
      </w:r>
    </w:p>
    <w:p>
      <w:r>
        <w:rPr>
          <w:b w:val="0"/>
          <w:i/>
          <w:color w:val="595959"/>
          <w:sz w:val="18"/>
        </w:rPr>
        <w:t>All names, numbers and events below are fictional composites from the book's case dossiers. They show the expected level of detail, not a regulatory standard. Glucalyn insulin pump, day 3 (data cut A, Year 2, month 9).</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1007"/>
        <w:gridCol w:w="6048"/>
      </w:tblGrid>
      <w:tr>
        <w:trPr>
          <w:tblHeader w:val="true"/>
          <w:cantSplit w:val="true"/>
        </w:trPr>
        <w:tc>
          <w:tcPr>
            <w:tcW w:type="dxa" w:w="2304"/>
            <w:shd w:val="clear" w:color="auto" w:fill="17375E"/>
            <w:vAlign w:val="center"/>
          </w:tcPr>
          <w:p>
            <w:pPr>
              <w:spacing w:after="20" w:line="240" w:lineRule="auto"/>
            </w:pPr>
            <w:r>
              <w:rPr>
                <w:b/>
              </w:rPr>
            </w:r>
            <w:r>
              <w:rPr>
                <w:b/>
                <w:color w:val="FFFFFF"/>
                <w:sz w:val="18"/>
              </w:rPr>
              <w:t>Domain</w:t>
            </w:r>
          </w:p>
        </w:tc>
        <w:tc>
          <w:tcPr>
            <w:tcW w:type="dxa" w:w="1008"/>
            <w:shd w:val="clear" w:color="auto" w:fill="17375E"/>
            <w:vAlign w:val="center"/>
          </w:tcPr>
          <w:p>
            <w:pPr>
              <w:spacing w:after="20" w:line="240" w:lineRule="auto"/>
            </w:pPr>
            <w:r>
              <w:rPr>
                <w:b/>
              </w:rPr>
            </w:r>
            <w:r>
              <w:rPr>
                <w:b/>
                <w:color w:val="FFFFFF"/>
                <w:sz w:val="18"/>
              </w:rPr>
              <w:t>Score</w:t>
            </w:r>
          </w:p>
        </w:tc>
        <w:tc>
          <w:tcPr>
            <w:tcW w:type="dxa" w:w="6048"/>
            <w:shd w:val="clear" w:color="auto" w:fill="17375E"/>
            <w:vAlign w:val="center"/>
          </w:tcPr>
          <w:p>
            <w:pPr>
              <w:spacing w:after="20" w:line="240" w:lineRule="auto"/>
            </w:pPr>
            <w:r>
              <w:rPr>
                <w:b/>
              </w:rPr>
            </w:r>
            <w:r>
              <w:rPr>
                <w:b/>
                <w:color w:val="FFFFFF"/>
                <w:sz w:val="18"/>
              </w:rPr>
              <w:t>Rationale recorded on the worksheet</w:t>
            </w:r>
          </w:p>
        </w:tc>
      </w:tr>
      <w:tr>
        <w:trPr>
          <w:cantSplit w:val="true"/>
        </w:trPr>
        <w:tc>
          <w:tcPr>
            <w:tcW w:type="dxa" w:w="2304"/>
            <w:shd w:val="clear" w:color="auto" w:fill="DCE6F1"/>
          </w:tcPr>
          <w:p>
            <w:pPr>
              <w:spacing w:after="20" w:line="240" w:lineRule="auto"/>
            </w:pPr>
            <w:r>
              <w:rPr>
                <w:b/>
              </w:rPr>
            </w:r>
            <w:r>
              <w:rPr>
                <w:b/>
                <w:sz w:val="18"/>
              </w:rPr>
              <w:t>Severity</w:t>
            </w:r>
          </w:p>
        </w:tc>
        <w:tc>
          <w:tcPr>
            <w:tcW w:type="dxa" w:w="1008"/>
          </w:tcPr>
          <w:p>
            <w:pPr>
              <w:spacing w:after="20" w:line="240" w:lineRule="auto"/>
            </w:pPr>
            <w:r/>
            <w:r>
              <w:rPr>
                <w:b w:val="0"/>
                <w:sz w:val="18"/>
              </w:rPr>
              <w:t>5</w:t>
            </w:r>
          </w:p>
        </w:tc>
        <w:tc>
          <w:tcPr>
            <w:tcW w:type="dxa" w:w="6048"/>
          </w:tcPr>
          <w:p>
            <w:pPr>
              <w:spacing w:after="20" w:line="240" w:lineRule="auto"/>
            </w:pPr>
            <w:r/>
            <w:r>
              <w:rPr>
                <w:b w:val="0"/>
                <w:sz w:val="18"/>
              </w:rPr>
              <w:t>Severe hypoglycemia; death credible</w:t>
            </w:r>
          </w:p>
        </w:tc>
      </w:tr>
      <w:tr>
        <w:trPr>
          <w:cantSplit w:val="true"/>
        </w:trPr>
        <w:tc>
          <w:tcPr>
            <w:tcW w:type="dxa" w:w="2304"/>
            <w:shd w:val="clear" w:color="auto" w:fill="DCE6F1"/>
          </w:tcPr>
          <w:p>
            <w:pPr>
              <w:spacing w:after="20" w:line="240" w:lineRule="auto"/>
            </w:pPr>
            <w:r>
              <w:rPr>
                <w:b/>
              </w:rPr>
            </w:r>
            <w:r>
              <w:rPr>
                <w:b/>
                <w:sz w:val="18"/>
              </w:rPr>
              <w:t>Probability change</w:t>
            </w:r>
          </w:p>
        </w:tc>
        <w:tc>
          <w:tcPr>
            <w:tcW w:type="dxa" w:w="1008"/>
          </w:tcPr>
          <w:p>
            <w:pPr>
              <w:spacing w:after="20" w:line="240" w:lineRule="auto"/>
            </w:pPr>
            <w:r/>
            <w:r>
              <w:rPr>
                <w:b w:val="0"/>
                <w:sz w:val="18"/>
              </w:rPr>
              <w:t>4</w:t>
            </w:r>
          </w:p>
        </w:tc>
        <w:tc>
          <w:tcPr>
            <w:tcW w:type="dxa" w:w="6048"/>
          </w:tcPr>
          <w:p>
            <w:pPr>
              <w:spacing w:after="20" w:line="240" w:lineRule="auto"/>
            </w:pPr>
            <w:r/>
            <w:r>
              <w:rPr>
                <w:b w:val="0"/>
                <w:sz w:val="18"/>
              </w:rPr>
              <w:t>1 in 2,000 vs 1 in 20,000 pump-years; one window only</w:t>
            </w:r>
          </w:p>
        </w:tc>
      </w:tr>
      <w:tr>
        <w:trPr>
          <w:cantSplit w:val="true"/>
        </w:trPr>
        <w:tc>
          <w:tcPr>
            <w:tcW w:type="dxa" w:w="2304"/>
            <w:shd w:val="clear" w:color="auto" w:fill="DCE6F1"/>
          </w:tcPr>
          <w:p>
            <w:pPr>
              <w:spacing w:after="20" w:line="240" w:lineRule="auto"/>
            </w:pPr>
            <w:r>
              <w:rPr>
                <w:b/>
              </w:rPr>
            </w:r>
            <w:r>
              <w:rPr>
                <w:b/>
                <w:sz w:val="18"/>
              </w:rPr>
              <w:t>Exposure</w:t>
            </w:r>
          </w:p>
        </w:tc>
        <w:tc>
          <w:tcPr>
            <w:tcW w:type="dxa" w:w="1008"/>
          </w:tcPr>
          <w:p>
            <w:pPr>
              <w:spacing w:after="20" w:line="240" w:lineRule="auto"/>
            </w:pPr>
            <w:r/>
            <w:r>
              <w:rPr>
                <w:b w:val="0"/>
                <w:sz w:val="18"/>
              </w:rPr>
              <w:t>4</w:t>
            </w:r>
          </w:p>
        </w:tc>
        <w:tc>
          <w:tcPr>
            <w:tcW w:type="dxa" w:w="6048"/>
          </w:tcPr>
          <w:p>
            <w:pPr>
              <w:spacing w:after="20" w:line="240" w:lineRule="auto"/>
            </w:pPr>
            <w:r/>
            <w:r>
              <w:rPr>
                <w:b w:val="0"/>
                <w:sz w:val="18"/>
              </w:rPr>
              <w:t>24,000 pumps on v3.2; version still being installed</w:t>
            </w:r>
          </w:p>
        </w:tc>
      </w:tr>
      <w:tr>
        <w:trPr>
          <w:cantSplit w:val="true"/>
        </w:trPr>
        <w:tc>
          <w:tcPr>
            <w:tcW w:type="dxa" w:w="2304"/>
            <w:shd w:val="clear" w:color="auto" w:fill="DCE6F1"/>
          </w:tcPr>
          <w:p>
            <w:pPr>
              <w:spacing w:after="20" w:line="240" w:lineRule="auto"/>
            </w:pPr>
            <w:r>
              <w:rPr>
                <w:b/>
              </w:rPr>
            </w:r>
            <w:r>
              <w:rPr>
                <w:b/>
                <w:sz w:val="18"/>
              </w:rPr>
              <w:t>Detectability</w:t>
            </w:r>
          </w:p>
        </w:tc>
        <w:tc>
          <w:tcPr>
            <w:tcW w:type="dxa" w:w="1008"/>
          </w:tcPr>
          <w:p>
            <w:pPr>
              <w:spacing w:after="20" w:line="240" w:lineRule="auto"/>
            </w:pPr>
            <w:r/>
            <w:r>
              <w:rPr>
                <w:b w:val="0"/>
                <w:sz w:val="18"/>
              </w:rPr>
              <w:t>5</w:t>
            </w:r>
          </w:p>
        </w:tc>
        <w:tc>
          <w:tcPr>
            <w:tcW w:type="dxa" w:w="6048"/>
          </w:tcPr>
          <w:p>
            <w:pPr>
              <w:spacing w:after="20" w:line="240" w:lineRule="auto"/>
            </w:pPr>
            <w:r/>
            <w:r>
              <w:rPr>
                <w:b w:val="0"/>
                <w:sz w:val="18"/>
              </w:rPr>
              <w:t>Over-delivery silent until hypoglycemia</w:t>
            </w:r>
          </w:p>
        </w:tc>
      </w:tr>
      <w:tr>
        <w:trPr>
          <w:cantSplit w:val="true"/>
        </w:trPr>
        <w:tc>
          <w:tcPr>
            <w:tcW w:type="dxa" w:w="2304"/>
            <w:shd w:val="clear" w:color="auto" w:fill="DCE6F1"/>
          </w:tcPr>
          <w:p>
            <w:pPr>
              <w:spacing w:after="20" w:line="240" w:lineRule="auto"/>
            </w:pPr>
            <w:r>
              <w:rPr>
                <w:b/>
              </w:rPr>
            </w:r>
            <w:r>
              <w:rPr>
                <w:b/>
                <w:sz w:val="18"/>
              </w:rPr>
              <w:t>Vulnerability</w:t>
            </w:r>
          </w:p>
        </w:tc>
        <w:tc>
          <w:tcPr>
            <w:tcW w:type="dxa" w:w="1008"/>
          </w:tcPr>
          <w:p>
            <w:pPr>
              <w:spacing w:after="20" w:line="240" w:lineRule="auto"/>
            </w:pPr>
            <w:r/>
            <w:r>
              <w:rPr>
                <w:b w:val="0"/>
                <w:sz w:val="18"/>
              </w:rPr>
              <w:t>4</w:t>
            </w:r>
          </w:p>
        </w:tc>
        <w:tc>
          <w:tcPr>
            <w:tcW w:type="dxa" w:w="6048"/>
          </w:tcPr>
          <w:p>
            <w:pPr>
              <w:spacing w:after="20" w:line="240" w:lineRule="auto"/>
            </w:pPr>
            <w:r/>
            <w:r>
              <w:rPr>
                <w:b w:val="0"/>
                <w:sz w:val="18"/>
              </w:rPr>
              <w:t>Home use by lay users; not a self-rescue-limited population</w:t>
            </w:r>
          </w:p>
        </w:tc>
      </w:tr>
    </w:tbl>
    <w:p>
      <w:pPr>
        <w:spacing w:after="160"/>
      </w:pPr>
      <w:r>
        <w:rPr>
          <w:i/>
          <w:color w:val="595959"/>
          <w:sz w:val="17"/>
        </w:rPr>
        <w:t>Table 13.2 — Glucalyn prioritization at data cut A (illustrative). Total 22 of 25, Band A, no override.</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880"/>
        <w:gridCol w:w="6480"/>
      </w:tblGrid>
      <w:tr>
        <w:trPr>
          <w:tblHeader w:val="true"/>
          <w:cantSplit w:val="true"/>
        </w:trPr>
        <w:tc>
          <w:tcPr>
            <w:tcW w:type="dxa" w:w="2880"/>
            <w:shd w:val="clear" w:color="auto" w:fill="17375E"/>
            <w:vAlign w:val="center"/>
          </w:tcPr>
          <w:p>
            <w:pPr>
              <w:spacing w:after="20" w:line="240" w:lineRule="auto"/>
            </w:pPr>
            <w:r>
              <w:rPr>
                <w:b/>
              </w:rPr>
            </w:r>
            <w:r>
              <w:rPr>
                <w:b/>
                <w:color w:val="FFFFFF"/>
                <w:sz w:val="18"/>
              </w:rPr>
              <w:t>Field</w:t>
            </w:r>
          </w:p>
        </w:tc>
        <w:tc>
          <w:tcPr>
            <w:tcW w:type="dxa" w:w="6480"/>
            <w:shd w:val="clear" w:color="auto" w:fill="17375E"/>
            <w:vAlign w:val="center"/>
          </w:tcPr>
          <w:p>
            <w:pPr>
              <w:spacing w:after="20" w:line="240" w:lineRule="auto"/>
            </w:pPr>
            <w:r>
              <w:rPr>
                <w:b/>
              </w:rPr>
            </w:r>
            <w:r>
              <w:rPr>
                <w:b/>
                <w:color w:val="FFFFFF"/>
                <w:sz w:val="18"/>
              </w:rPr>
              <w:t>Entry (Glucalyn, day 3)</w:t>
            </w:r>
          </w:p>
        </w:tc>
      </w:tr>
      <w:tr>
        <w:trPr>
          <w:cantSplit w:val="true"/>
        </w:trPr>
        <w:tc>
          <w:tcPr>
            <w:tcW w:type="dxa" w:w="2880"/>
            <w:shd w:val="clear" w:color="auto" w:fill="DCE6F1"/>
          </w:tcPr>
          <w:p>
            <w:pPr>
              <w:spacing w:after="20" w:line="240" w:lineRule="auto"/>
            </w:pPr>
            <w:r>
              <w:rPr>
                <w:b/>
              </w:rPr>
            </w:r>
            <w:r>
              <w:rPr>
                <w:b/>
                <w:sz w:val="18"/>
              </w:rPr>
              <w:t>Signal and data cut</w:t>
            </w:r>
          </w:p>
        </w:tc>
        <w:tc>
          <w:tcPr>
            <w:tcW w:type="dxa" w:w="6480"/>
          </w:tcPr>
          <w:p>
            <w:pPr>
              <w:spacing w:after="20" w:line="240" w:lineRule="auto"/>
            </w:pPr>
            <w:r/>
            <w:r>
              <w:rPr>
                <w:b w:val="0"/>
                <w:sz w:val="18"/>
              </w:rPr>
              <w:t>Over-delivery on software v3.2; Year 2, month 9</w:t>
            </w:r>
          </w:p>
        </w:tc>
      </w:tr>
      <w:tr>
        <w:trPr>
          <w:cantSplit w:val="true"/>
        </w:trPr>
        <w:tc>
          <w:tcPr>
            <w:tcW w:type="dxa" w:w="2880"/>
            <w:shd w:val="clear" w:color="auto" w:fill="DCE6F1"/>
          </w:tcPr>
          <w:p>
            <w:pPr>
              <w:spacing w:after="20" w:line="240" w:lineRule="auto"/>
            </w:pPr>
            <w:r>
              <w:rPr>
                <w:b/>
              </w:rPr>
            </w:r>
            <w:r>
              <w:rPr>
                <w:b/>
                <w:sz w:val="18"/>
              </w:rPr>
              <w:t>Risk file link</w:t>
            </w:r>
          </w:p>
        </w:tc>
        <w:tc>
          <w:tcPr>
            <w:tcW w:type="dxa" w:w="6480"/>
          </w:tcPr>
          <w:p>
            <w:pPr>
              <w:spacing w:after="20" w:line="240" w:lineRule="auto"/>
            </w:pPr>
            <w:r/>
            <w:r>
              <w:rPr>
                <w:b w:val="0"/>
                <w:sz w:val="18"/>
              </w:rPr>
              <w:t>Hazard: over-delivery of insulin; severity scale as in the risk file</w:t>
            </w:r>
          </w:p>
        </w:tc>
      </w:tr>
      <w:tr>
        <w:trPr>
          <w:cantSplit w:val="true"/>
        </w:trPr>
        <w:tc>
          <w:tcPr>
            <w:tcW w:type="dxa" w:w="2880"/>
            <w:shd w:val="clear" w:color="auto" w:fill="DCE6F1"/>
          </w:tcPr>
          <w:p>
            <w:pPr>
              <w:spacing w:after="20" w:line="240" w:lineRule="auto"/>
            </w:pPr>
            <w:r>
              <w:rPr>
                <w:b/>
              </w:rPr>
            </w:r>
            <w:r>
              <w:rPr>
                <w:b/>
                <w:sz w:val="18"/>
              </w:rPr>
              <w:t>Scores (S / P / E / D / V)</w:t>
            </w:r>
          </w:p>
        </w:tc>
        <w:tc>
          <w:tcPr>
            <w:tcW w:type="dxa" w:w="6480"/>
          </w:tcPr>
          <w:p>
            <w:pPr>
              <w:spacing w:after="20" w:line="240" w:lineRule="auto"/>
            </w:pPr>
            <w:r/>
            <w:r>
              <w:rPr>
                <w:b w:val="0"/>
                <w:sz w:val="18"/>
              </w:rPr>
              <w:t>5 / 4 / 4 / 5 / 4</w:t>
            </w:r>
          </w:p>
        </w:tc>
      </w:tr>
      <w:tr>
        <w:trPr>
          <w:cantSplit w:val="true"/>
        </w:trPr>
        <w:tc>
          <w:tcPr>
            <w:tcW w:type="dxa" w:w="2880"/>
            <w:shd w:val="clear" w:color="auto" w:fill="DCE6F1"/>
          </w:tcPr>
          <w:p>
            <w:pPr>
              <w:spacing w:after="20" w:line="240" w:lineRule="auto"/>
            </w:pPr>
            <w:r>
              <w:rPr>
                <w:b/>
              </w:rPr>
            </w:r>
            <w:r>
              <w:rPr>
                <w:b/>
                <w:sz w:val="18"/>
              </w:rPr>
              <w:t>Total and band</w:t>
            </w:r>
          </w:p>
        </w:tc>
        <w:tc>
          <w:tcPr>
            <w:tcW w:type="dxa" w:w="6480"/>
          </w:tcPr>
          <w:p>
            <w:pPr>
              <w:spacing w:after="20" w:line="240" w:lineRule="auto"/>
            </w:pPr>
            <w:r/>
            <w:r>
              <w:rPr>
                <w:b w:val="0"/>
                <w:sz w:val="18"/>
              </w:rPr>
              <w:t>22 of 25; Band A (20 to 25)</w:t>
            </w:r>
          </w:p>
        </w:tc>
      </w:tr>
      <w:tr>
        <w:trPr>
          <w:cantSplit w:val="true"/>
        </w:trPr>
        <w:tc>
          <w:tcPr>
            <w:tcW w:type="dxa" w:w="2880"/>
            <w:shd w:val="clear" w:color="auto" w:fill="DCE6F1"/>
          </w:tcPr>
          <w:p>
            <w:pPr>
              <w:spacing w:after="20" w:line="240" w:lineRule="auto"/>
            </w:pPr>
            <w:r>
              <w:rPr>
                <w:b/>
              </w:rPr>
            </w:r>
            <w:r>
              <w:rPr>
                <w:b/>
                <w:sz w:val="18"/>
              </w:rPr>
              <w:t>Floor rule applied</w:t>
            </w:r>
          </w:p>
        </w:tc>
        <w:tc>
          <w:tcPr>
            <w:tcW w:type="dxa" w:w="6480"/>
          </w:tcPr>
          <w:p>
            <w:pPr>
              <w:spacing w:after="20" w:line="240" w:lineRule="auto"/>
            </w:pPr>
            <w:r/>
            <w:r>
              <w:rPr>
                <w:b w:val="0"/>
                <w:sz w:val="18"/>
              </w:rPr>
              <w:t>Severity 5 with detectability 5: Band B minimum (met by score)</w:t>
            </w:r>
          </w:p>
        </w:tc>
      </w:tr>
      <w:tr>
        <w:trPr>
          <w:cantSplit w:val="true"/>
        </w:trPr>
        <w:tc>
          <w:tcPr>
            <w:tcW w:type="dxa" w:w="2880"/>
            <w:shd w:val="clear" w:color="auto" w:fill="DCE6F1"/>
          </w:tcPr>
          <w:p>
            <w:pPr>
              <w:spacing w:after="20" w:line="240" w:lineRule="auto"/>
            </w:pPr>
            <w:r>
              <w:rPr>
                <w:b/>
              </w:rPr>
            </w:r>
            <w:r>
              <w:rPr>
                <w:b/>
                <w:sz w:val="18"/>
              </w:rPr>
              <w:t>Urgency triggers</w:t>
            </w:r>
          </w:p>
        </w:tc>
        <w:tc>
          <w:tcPr>
            <w:tcW w:type="dxa" w:w="6480"/>
          </w:tcPr>
          <w:p>
            <w:pPr>
              <w:spacing w:after="20" w:line="240" w:lineRule="auto"/>
            </w:pPr>
            <w:r/>
            <w:r>
              <w:rPr>
                <w:b w:val="0"/>
                <w:sz w:val="18"/>
              </w:rPr>
              <w:t>None on day 3</w:t>
            </w:r>
          </w:p>
        </w:tc>
      </w:tr>
      <w:tr>
        <w:trPr>
          <w:cantSplit w:val="true"/>
        </w:trPr>
        <w:tc>
          <w:tcPr>
            <w:tcW w:type="dxa" w:w="2880"/>
            <w:shd w:val="clear" w:color="auto" w:fill="DCE6F1"/>
          </w:tcPr>
          <w:p>
            <w:pPr>
              <w:spacing w:after="20" w:line="240" w:lineRule="auto"/>
            </w:pPr>
            <w:r>
              <w:rPr>
                <w:b/>
              </w:rPr>
            </w:r>
            <w:r>
              <w:rPr>
                <w:b/>
                <w:sz w:val="18"/>
              </w:rPr>
              <w:t>Response time</w:t>
            </w:r>
          </w:p>
        </w:tc>
        <w:tc>
          <w:tcPr>
            <w:tcW w:type="dxa" w:w="6480"/>
          </w:tcPr>
          <w:p>
            <w:pPr>
              <w:spacing w:after="20" w:line="240" w:lineRule="auto"/>
            </w:pPr>
            <w:r/>
            <w:r>
              <w:rPr>
                <w:b w:val="0"/>
                <w:sz w:val="18"/>
              </w:rPr>
              <w:t>Board within 5 working days; action decision within 15 calendar days</w:t>
            </w:r>
          </w:p>
        </w:tc>
      </w:tr>
      <w:tr>
        <w:trPr>
          <w:cantSplit w:val="true"/>
        </w:trPr>
        <w:tc>
          <w:tcPr>
            <w:tcW w:type="dxa" w:w="2880"/>
            <w:shd w:val="clear" w:color="auto" w:fill="DCE6F1"/>
          </w:tcPr>
          <w:p>
            <w:pPr>
              <w:spacing w:after="20" w:line="240" w:lineRule="auto"/>
            </w:pPr>
            <w:r>
              <w:rPr>
                <w:b/>
              </w:rPr>
            </w:r>
            <w:r>
              <w:rPr>
                <w:b/>
                <w:sz w:val="18"/>
              </w:rPr>
              <w:t>Override</w:t>
            </w:r>
          </w:p>
        </w:tc>
        <w:tc>
          <w:tcPr>
            <w:tcW w:type="dxa" w:w="6480"/>
          </w:tcPr>
          <w:p>
            <w:pPr>
              <w:spacing w:after="20" w:line="240" w:lineRule="auto"/>
            </w:pPr>
            <w:r/>
            <w:r>
              <w:rPr>
                <w:b w:val="0"/>
                <w:sz w:val="18"/>
              </w:rPr>
              <w:t>None. Reason: Band A by score. Chair initials recorded</w:t>
            </w:r>
          </w:p>
        </w:tc>
      </w:tr>
      <w:tr>
        <w:trPr>
          <w:cantSplit w:val="true"/>
        </w:trPr>
        <w:tc>
          <w:tcPr>
            <w:tcW w:type="dxa" w:w="2880"/>
            <w:shd w:val="clear" w:color="auto" w:fill="DCE6F1"/>
          </w:tcPr>
          <w:p>
            <w:pPr>
              <w:spacing w:after="20" w:line="240" w:lineRule="auto"/>
            </w:pPr>
            <w:r>
              <w:rPr>
                <w:b/>
              </w:rPr>
            </w:r>
            <w:r>
              <w:rPr>
                <w:b/>
                <w:sz w:val="18"/>
              </w:rPr>
              <w:t>Reviewers</w:t>
            </w:r>
          </w:p>
        </w:tc>
        <w:tc>
          <w:tcPr>
            <w:tcW w:type="dxa" w:w="6480"/>
          </w:tcPr>
          <w:p>
            <w:pPr>
              <w:spacing w:after="20" w:line="240" w:lineRule="auto"/>
            </w:pPr>
            <w:r/>
            <w:r>
              <w:rPr>
                <w:b w:val="0"/>
                <w:sz w:val="18"/>
              </w:rPr>
              <w:t>Vigilance lead and safety physician; independent scores agreed</w:t>
            </w:r>
          </w:p>
        </w:tc>
      </w:tr>
    </w:tbl>
    <w:p>
      <w:pPr>
        <w:spacing w:after="160"/>
      </w:pPr>
      <w:r>
        <w:rPr>
          <w:i/>
          <w:color w:val="595959"/>
          <w:sz w:val="17"/>
        </w:rPr>
        <w:t>Table 13.3 — Tool T-11 scoring worksheet, partly filled for the Glucalyn signal (illustrative, company tool).</w:t>
      </w:r>
    </w:p>
    <w:p>
      <w:r>
        <w:rPr>
          <w:b w:val="0"/>
          <w:i/>
          <w:color w:val="595959"/>
          <w:sz w:val="18"/>
        </w:rPr>
        <w:t>Sensitivity check recorded: if exposure and vulnerability were each scored 3, the total would be 20, still Band A. Comparison: the Brevant housing-crack series scores 1 + 2 + 4 + 1 + 1 = 9, Band C, despite far higher volume. The FSCA decision came on day 14, within the 15-day Band A time. After the field safety notice on day 21, detectability is re-scored and the re-score recorded; the signal stays in Band A until the patch is verified.</w:t>
      </w:r>
    </w:p>
    <w:sectPr w:rsidR="00FC693F" w:rsidRPr="0006063C" w:rsidSect="00034616">
      <w:headerReference w:type="default" r:id="rId9"/>
      <w:footerReference w:type="default" r:id="rId10"/>
      <w:pgSz w:w="12240" w:h="15840"/>
      <w:pgMar w:top="1440" w:right="1440" w:bottom="1440"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A6A6A6"/>
      </w:pBdr>
    </w:pPr>
    <w:r/>
    <w:r>
      <w:rPr>
        <w:i/>
        <w:color w:val="595959"/>
        <w:sz w:val="16"/>
      </w:rPr>
      <w:t>Educational template — adapt to your quality system. Not a regulatory requirement.</w:t>
    </w:r>
  </w:p>
  <w:p>
    <w:r>
      <w:rPr>
        <w:color w:val="595959"/>
        <w:sz w:val="16"/>
      </w:rPr>
      <w:t xml:space="preserve">© 2026 Selim Medical Press · Tool T-11 · Page </w:t>
    </w:r>
    <w:r>
      <w:rPr>
        <w:color w:val="595959"/>
        <w:sz w:val="16"/>
      </w:rPr>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6A6A6"/>
      </w:pBdr>
    </w:pPr>
    <w:r/>
    <w:r>
      <w:rPr>
        <w:rFonts w:ascii="Calibri" w:hAnsi="Calibri"/>
        <w:color w:val="595959"/>
        <w:sz w:val="17"/>
      </w:rPr>
      <w:t>Selim Medical Press · Signal Management in Medical Device Vigilance · Tool T-11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mbria" w:hAnsi="Cambria" w:cs="Cambria" w:eastAsia="Cambria"/>
      <w:b/>
      <w:bCs/>
      <w:color w:val="17375E"/>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mbria" w:hAnsi="Cambria" w:cs="Cambria" w:eastAsia="Cambria"/>
      <w:b/>
      <w:bCs/>
      <w:color w:val="17375E"/>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mbria" w:hAnsi="Cambria" w:cs="Cambria" w:eastAsia="Cambria"/>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Cambria" w:hAnsi="Cambria" w:cs="Cambria" w:eastAsia="Cambria"/>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T-11 — Prioritization Matrix Aligned with ISO 14971</dc:title>
  <dc:subject>Signal Management in Medical Device Vigilance — companion toolkit</dc:subject>
  <dc:creator>Dr. Hafez Selim, MD, PhD</dc:creator>
  <cp:keywords>device vigilance; signal management; toolkit</cp:keywords>
  <dc:description>Selim Medical Press © 2026. Educational template.</dc:description>
  <cp:lastModifiedBy/>
  <cp:revision>1</cp:revision>
  <dcterms:created xsi:type="dcterms:W3CDTF">2013-12-23T23:15:00Z</dcterms:created>
  <dcterms:modified xsi:type="dcterms:W3CDTF">2013-12-23T23:15:00Z</dcterms:modified>
  <cp:category/>
</cp:coreProperties>
</file>