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17375E"/>
          <w:sz w:val="18"/>
        </w:rPr>
        <w:t>COMPANION TOOLKIT · TOOL T-12</w:t>
      </w:r>
    </w:p>
    <w:p>
      <w:pPr>
        <w:pStyle w:val="Title"/>
      </w:pPr>
      <w:r>
        <w:t>Signal Assessment Protocol</w:t>
      </w:r>
    </w:p>
    <w:p>
      <w:r>
        <w:rPr>
          <w:i/>
          <w:color w:val="595959"/>
          <w:sz w:val="21"/>
        </w:rPr>
        <w:t>Turns a validated signal into a written question, an analysis plan and a decision link — before any data request goes out</w:t>
      </w:r>
    </w:p>
    <w:p>
      <w:pPr>
        <w:pBdr>
          <w:bottom w:val="single" w:sz="6" w:space="1" w:color="17375E"/>
        </w:pBdr>
        <w:spacing w:after="160"/>
      </w:pPr>
      <w:r>
        <w:rPr>
          <w:color w:val="595959"/>
          <w:sz w:val="17"/>
        </w:rPr>
        <w:t>Signal Management in Medical Device Vigilance · Dr. Hafez Selim, MD, PhD · Selim Medical Press · © 2026</w:t>
      </w:r>
    </w:p>
    <w:tbl>
      <w:tblPr>
        <w:tblW w:type="dxa" w:w="936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100" w:type="dxa"/>
          <w:bottom w:w="60" w:type="dxa"/>
          <w:right w:w="100" w:type="dxa"/>
        </w:tblCellMar>
        <w:tblLayout w:type="fixed"/>
      </w:tblPr>
      <w:tblGrid>
        <w:gridCol w:w="2160"/>
        <w:gridCol w:w="7200"/>
      </w:tblGrid>
      <w:tr>
        <w:tc>
          <w:tcPr>
            <w:tcW w:type="dxa" w:w="2160"/>
            <w:shd w:val="clear" w:color="auto" w:fill="DCE6F1"/>
          </w:tcPr>
          <w:p>
            <w:r/>
            <w:r>
              <w:rPr>
                <w:b/>
                <w:color w:val="17375E"/>
              </w:rPr>
              <w:t>Purpose</w:t>
            </w:r>
          </w:p>
        </w:tc>
        <w:tc>
          <w:tcPr>
            <w:tcW w:type="dxa" w:w="7200"/>
          </w:tcPr>
          <w:p>
            <w:pPr>
              <w:spacing w:after="20" w:line="240" w:lineRule="auto"/>
            </w:pPr>
            <w:r/>
            <w:r>
              <w:rPr>
                <w:b w:val="0"/>
              </w:rPr>
              <w:t>A two-to-four-page protocol in nine sections: signal identification and data cut; background, including what the risk file already says; the primary question; secondary questions; the device-adapted PICOTS frame; data sources with what each can and cannot answer; analysis methods; the decision link; and sign-off.</w:t>
            </w:r>
          </w:p>
        </w:tc>
      </w:tr>
      <w:tr>
        <w:tc>
          <w:tcPr>
            <w:tcW w:type="dxa" w:w="2160"/>
            <w:shd w:val="clear" w:color="auto" w:fill="DCE6F1"/>
          </w:tcPr>
          <w:p>
            <w:r/>
            <w:r>
              <w:rPr>
                <w:b/>
                <w:color w:val="17375E"/>
              </w:rPr>
              <w:t>When to use</w:t>
            </w:r>
          </w:p>
        </w:tc>
        <w:tc>
          <w:tcPr>
            <w:tcW w:type="dxa" w:w="7200"/>
          </w:tcPr>
          <w:p>
            <w:pPr>
              <w:spacing w:after="20" w:line="240" w:lineRule="auto"/>
            </w:pPr>
            <w:r/>
            <w:r>
              <w:rPr>
                <w:b w:val="0"/>
              </w:rPr>
              <w:t>For every validated signal before assessment starts. Approved by the signal owner, the clinical lead and the statistician before any data request goes out. Store the signed protocol in the signal record.</w:t>
            </w:r>
          </w:p>
        </w:tc>
      </w:tr>
      <w:tr>
        <w:tc>
          <w:tcPr>
            <w:tcW w:type="dxa" w:w="2160"/>
            <w:shd w:val="clear" w:color="auto" w:fill="DCE6F1"/>
          </w:tcPr>
          <w:p>
            <w:r/>
            <w:r>
              <w:rPr>
                <w:b/>
                <w:color w:val="17375E"/>
              </w:rPr>
              <w:t>Chapter reference</w:t>
            </w:r>
          </w:p>
        </w:tc>
        <w:tc>
          <w:tcPr>
            <w:tcW w:type="dxa" w:w="7200"/>
          </w:tcPr>
          <w:p>
            <w:pPr>
              <w:spacing w:after="20" w:line="240" w:lineRule="auto"/>
            </w:pPr>
            <w:r/>
            <w:r>
              <w:rPr>
                <w:b w:val="0"/>
              </w:rPr>
              <w:t>Chapter 14, Developing the Assessment Question — section 14.5 (Tables 14.1 and 14.2).</w:t>
            </w:r>
          </w:p>
        </w:tc>
      </w:tr>
    </w:tbl>
    <w:p>
      <w:pPr>
        <w:spacing w:after="0" w:before="0" w:line="80" w:lineRule="exact"/>
      </w:pPr>
      <w:r>
        <w:rPr>
          <w:sz w:val="8"/>
        </w:rPr>
      </w:r>
    </w:p>
    <w:p>
      <w:pPr>
        <w:pStyle w:val="Heading1"/>
      </w:pPr>
      <w:r>
        <w:t>1. Signal identification and data cut</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2304"/>
        <w:gridCol w:w="2376"/>
        <w:gridCol w:w="2304"/>
        <w:gridCol w:w="2376"/>
      </w:tblGrid>
      <w:tr>
        <w:trPr>
          <w:trHeight w:val="432" w:hRule="atLeast"/>
        </w:trPr>
        <w:tc>
          <w:tcPr>
            <w:tcW w:type="dxa" w:w="2304"/>
            <w:shd w:val="clear" w:color="auto" w:fill="DCE6F1"/>
          </w:tcPr>
          <w:p>
            <w:pPr>
              <w:spacing w:after="20" w:line="240" w:lineRule="auto"/>
            </w:pPr>
            <w:r>
              <w:rPr>
                <w:b/>
              </w:rPr>
            </w:r>
            <w:r>
              <w:rPr>
                <w:b/>
                <w:sz w:val="18"/>
              </w:rPr>
              <w:t>Signal record ID</w:t>
            </w:r>
          </w:p>
        </w:tc>
        <w:tc>
          <w:tcPr>
            <w:tcW w:type="dxa" w:w="2376"/>
          </w:tcPr>
          <w:p>
            <w:pPr>
              <w:spacing w:after="20" w:line="240" w:lineRule="auto"/>
            </w:pPr>
            <w:r/>
          </w:p>
        </w:tc>
        <w:tc>
          <w:tcPr>
            <w:tcW w:type="dxa" w:w="2304"/>
            <w:shd w:val="clear" w:color="auto" w:fill="DCE6F1"/>
          </w:tcPr>
          <w:p>
            <w:pPr>
              <w:spacing w:after="20" w:line="240" w:lineRule="auto"/>
            </w:pPr>
            <w:r>
              <w:rPr>
                <w:b/>
              </w:rPr>
            </w:r>
            <w:r>
              <w:rPr>
                <w:b/>
                <w:sz w:val="18"/>
              </w:rPr>
              <w:t>Device / versions / lots / sizes</w:t>
            </w:r>
          </w:p>
        </w:tc>
        <w:tc>
          <w:tcPr>
            <w:tcW w:type="dxa" w:w="2376"/>
          </w:tcPr>
          <w:p>
            <w:pPr>
              <w:spacing w:after="20" w:line="240" w:lineRule="auto"/>
            </w:pPr>
            <w:r/>
          </w:p>
        </w:tc>
      </w:tr>
      <w:tr>
        <w:trPr>
          <w:trHeight w:val="432" w:hRule="atLeast"/>
        </w:trPr>
        <w:tc>
          <w:tcPr>
            <w:tcW w:type="dxa" w:w="2304"/>
            <w:shd w:val="clear" w:color="auto" w:fill="DCE6F1"/>
          </w:tcPr>
          <w:p>
            <w:pPr>
              <w:spacing w:after="20" w:line="240" w:lineRule="auto"/>
            </w:pPr>
            <w:r>
              <w:rPr>
                <w:b/>
              </w:rPr>
            </w:r>
            <w:r>
              <w:rPr>
                <w:b/>
                <w:sz w:val="18"/>
              </w:rPr>
              <w:t>Data cut(s)</w:t>
            </w:r>
          </w:p>
        </w:tc>
        <w:tc>
          <w:tcPr>
            <w:tcW w:type="dxa" w:w="2376"/>
          </w:tcPr>
          <w:p>
            <w:pPr>
              <w:spacing w:after="20" w:line="240" w:lineRule="auto"/>
            </w:pPr>
            <w:r/>
          </w:p>
        </w:tc>
        <w:tc>
          <w:tcPr>
            <w:tcW w:type="dxa" w:w="2304"/>
            <w:shd w:val="clear" w:color="auto" w:fill="DCE6F1"/>
          </w:tcPr>
          <w:p>
            <w:pPr>
              <w:spacing w:after="20" w:line="240" w:lineRule="auto"/>
            </w:pPr>
            <w:r>
              <w:rPr>
                <w:b/>
              </w:rPr>
            </w:r>
            <w:r>
              <w:rPr>
                <w:b/>
                <w:sz w:val="18"/>
              </w:rPr>
              <w:t>Protocol version and date</w:t>
            </w:r>
          </w:p>
        </w:tc>
        <w:tc>
          <w:tcPr>
            <w:tcW w:type="dxa" w:w="2376"/>
          </w:tcPr>
          <w:p>
            <w:pPr>
              <w:spacing w:after="20" w:line="240" w:lineRule="auto"/>
            </w:pPr>
            <w:r/>
          </w:p>
        </w:tc>
      </w:tr>
    </w:tbl>
    <w:p>
      <w:pPr>
        <w:spacing w:after="0" w:before="0" w:line="80" w:lineRule="exact"/>
      </w:pPr>
      <w:r>
        <w:rPr>
          <w:sz w:val="8"/>
        </w:rPr>
      </w:r>
    </w:p>
    <w:p>
      <w:pPr>
        <w:pStyle w:val="Heading1"/>
      </w:pPr>
      <w:r>
        <w:t>2. Background and risk file position</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3456"/>
        <w:gridCol w:w="5903"/>
      </w:tblGrid>
      <w:tr>
        <w:trPr>
          <w:cantSplit w:val="true"/>
          <w:trHeight w:val="864" w:hRule="atLeast"/>
        </w:trPr>
        <w:tc>
          <w:tcPr>
            <w:tcW w:type="dxa" w:w="3456"/>
            <w:shd w:val="clear" w:color="auto" w:fill="DCE6F1"/>
          </w:tcPr>
          <w:p>
            <w:pPr>
              <w:spacing w:after="20" w:line="240" w:lineRule="auto"/>
            </w:pPr>
            <w:r>
              <w:rPr>
                <w:b/>
              </w:rPr>
            </w:r>
            <w:r>
              <w:rPr>
                <w:b/>
                <w:sz w:val="18"/>
              </w:rPr>
              <w:t>What the risk file already says (hazard, severity, probability estimate)</w:t>
            </w:r>
          </w:p>
        </w:tc>
        <w:tc>
          <w:tcPr>
            <w:tcW w:type="dxa" w:w="5904"/>
          </w:tcPr>
          <w:p>
            <w:pPr>
              <w:spacing w:after="20" w:line="240" w:lineRule="auto"/>
            </w:pPr>
            <w:r/>
          </w:p>
        </w:tc>
      </w:tr>
      <w:tr>
        <w:trPr>
          <w:cantSplit w:val="true"/>
          <w:trHeight w:val="864" w:hRule="atLeast"/>
        </w:trPr>
        <w:tc>
          <w:tcPr>
            <w:tcW w:type="dxa" w:w="3456"/>
            <w:shd w:val="clear" w:color="auto" w:fill="DCE6F1"/>
          </w:tcPr>
          <w:p>
            <w:pPr>
              <w:spacing w:after="20" w:line="240" w:lineRule="auto"/>
            </w:pPr>
            <w:r>
              <w:rPr>
                <w:b/>
              </w:rPr>
            </w:r>
            <w:r>
              <w:rPr>
                <w:b/>
                <w:sz w:val="18"/>
              </w:rPr>
              <w:t>How the signal was detected and validated (memo reference)</w:t>
            </w:r>
          </w:p>
        </w:tc>
        <w:tc>
          <w:tcPr>
            <w:tcW w:type="dxa" w:w="5904"/>
          </w:tcPr>
          <w:p>
            <w:pPr>
              <w:spacing w:after="20" w:line="240" w:lineRule="auto"/>
            </w:pPr>
            <w:r/>
          </w:p>
        </w:tc>
      </w:tr>
    </w:tbl>
    <w:p>
      <w:pPr>
        <w:spacing w:after="0" w:before="0" w:line="80" w:lineRule="exact"/>
      </w:pPr>
      <w:r>
        <w:rPr>
          <w:sz w:val="8"/>
        </w:rPr>
      </w:r>
    </w:p>
    <w:p>
      <w:pPr>
        <w:pStyle w:val="Heading1"/>
      </w:pPr>
      <w:r>
        <w:t>3. Primary question</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3456"/>
        <w:gridCol w:w="5903"/>
      </w:tblGrid>
      <w:tr>
        <w:trPr>
          <w:cantSplit w:val="true"/>
          <w:trHeight w:val="1008" w:hRule="atLeast"/>
        </w:trPr>
        <w:tc>
          <w:tcPr>
            <w:tcW w:type="dxa" w:w="3456"/>
            <w:shd w:val="clear" w:color="auto" w:fill="DCE6F1"/>
          </w:tcPr>
          <w:p>
            <w:pPr>
              <w:spacing w:after="20" w:line="240" w:lineRule="auto"/>
            </w:pPr>
            <w:r>
              <w:rPr>
                <w:b/>
              </w:rPr>
            </w:r>
            <w:r>
              <w:rPr>
                <w:b/>
                <w:sz w:val="18"/>
              </w:rPr>
              <w:t>Primary question (one sentence: device scope, population, comparator, outcome, time)</w:t>
            </w:r>
          </w:p>
        </w:tc>
        <w:tc>
          <w:tcPr>
            <w:tcW w:type="dxa" w:w="5904"/>
          </w:tcPr>
          <w:p>
            <w:pPr>
              <w:spacing w:after="20" w:line="240" w:lineRule="auto"/>
            </w:pPr>
            <w:r/>
          </w:p>
        </w:tc>
      </w:tr>
    </w:tbl>
    <w:p>
      <w:pPr>
        <w:spacing w:after="0" w:before="0" w:line="80" w:lineRule="exact"/>
      </w:pPr>
      <w:r>
        <w:rPr>
          <w:sz w:val="8"/>
        </w:rPr>
      </w:r>
    </w:p>
    <w:p>
      <w:pPr>
        <w:pStyle w:val="Heading1"/>
      </w:pPr>
      <w:r>
        <w:t>4. Secondary questions</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4320"/>
        <w:gridCol w:w="1872"/>
        <w:gridCol w:w="3168"/>
      </w:tblGrid>
      <w:tr>
        <w:trPr>
          <w:tblHeader w:val="true"/>
          <w:cantSplit w:val="true"/>
        </w:trPr>
        <w:tc>
          <w:tcPr>
            <w:tcW w:type="dxa" w:w="4320"/>
            <w:shd w:val="clear" w:color="auto" w:fill="17375E"/>
            <w:vAlign w:val="center"/>
          </w:tcPr>
          <w:p>
            <w:pPr>
              <w:spacing w:after="20" w:line="240" w:lineRule="auto"/>
            </w:pPr>
            <w:r>
              <w:rPr>
                <w:b/>
              </w:rPr>
            </w:r>
            <w:r>
              <w:rPr>
                <w:b/>
                <w:color w:val="FFFFFF"/>
                <w:sz w:val="18"/>
              </w:rPr>
              <w:t>Secondary question</w:t>
            </w:r>
          </w:p>
        </w:tc>
        <w:tc>
          <w:tcPr>
            <w:tcW w:type="dxa" w:w="1872"/>
            <w:shd w:val="clear" w:color="auto" w:fill="17375E"/>
            <w:vAlign w:val="center"/>
          </w:tcPr>
          <w:p>
            <w:pPr>
              <w:spacing w:after="20" w:line="240" w:lineRule="auto"/>
            </w:pPr>
            <w:r>
              <w:rPr>
                <w:b/>
              </w:rPr>
            </w:r>
            <w:r>
              <w:rPr>
                <w:b/>
                <w:color w:val="FFFFFF"/>
                <w:sz w:val="18"/>
              </w:rPr>
              <w:t>Pre-specified or exploratory</w:t>
            </w:r>
          </w:p>
        </w:tc>
        <w:tc>
          <w:tcPr>
            <w:tcW w:type="dxa" w:w="3168"/>
            <w:shd w:val="clear" w:color="auto" w:fill="17375E"/>
            <w:vAlign w:val="center"/>
          </w:tcPr>
          <w:p>
            <w:pPr>
              <w:spacing w:after="20" w:line="240" w:lineRule="auto"/>
            </w:pPr>
            <w:r>
              <w:rPr>
                <w:b/>
              </w:rPr>
            </w:r>
            <w:r>
              <w:rPr>
                <w:b/>
                <w:color w:val="FFFFFF"/>
                <w:sz w:val="18"/>
              </w:rPr>
              <w:t>Rationale</w:t>
            </w:r>
          </w:p>
        </w:tc>
      </w:tr>
      <w:tr>
        <w:trPr>
          <w:cantSplit w:val="true"/>
          <w:trHeight w:val="461" w:hRule="atLeast"/>
        </w:trPr>
        <w:tc>
          <w:tcPr>
            <w:tcW w:type="dxa" w:w="4320"/>
          </w:tcPr>
          <w:p>
            <w:pPr>
              <w:spacing w:after="20" w:line="240" w:lineRule="auto"/>
            </w:pPr>
            <w:r/>
          </w:p>
        </w:tc>
        <w:tc>
          <w:tcPr>
            <w:tcW w:type="dxa" w:w="1872"/>
          </w:tcPr>
          <w:p>
            <w:pPr>
              <w:spacing w:after="20" w:line="240" w:lineRule="auto"/>
            </w:pPr>
            <w:r/>
          </w:p>
        </w:tc>
        <w:tc>
          <w:tcPr>
            <w:tcW w:type="dxa" w:w="3168"/>
          </w:tcPr>
          <w:p>
            <w:pPr>
              <w:spacing w:after="20" w:line="240" w:lineRule="auto"/>
            </w:pPr>
            <w:r/>
          </w:p>
        </w:tc>
      </w:tr>
      <w:tr>
        <w:trPr>
          <w:cantSplit w:val="true"/>
          <w:trHeight w:val="461" w:hRule="atLeast"/>
        </w:trPr>
        <w:tc>
          <w:tcPr>
            <w:tcW w:type="dxa" w:w="4320"/>
          </w:tcPr>
          <w:p>
            <w:pPr>
              <w:spacing w:after="20" w:line="240" w:lineRule="auto"/>
            </w:pPr>
            <w:r/>
          </w:p>
        </w:tc>
        <w:tc>
          <w:tcPr>
            <w:tcW w:type="dxa" w:w="1872"/>
          </w:tcPr>
          <w:p>
            <w:pPr>
              <w:spacing w:after="20" w:line="240" w:lineRule="auto"/>
            </w:pPr>
            <w:r/>
          </w:p>
        </w:tc>
        <w:tc>
          <w:tcPr>
            <w:tcW w:type="dxa" w:w="3168"/>
          </w:tcPr>
          <w:p>
            <w:pPr>
              <w:spacing w:after="20" w:line="240" w:lineRule="auto"/>
            </w:pPr>
            <w:r/>
          </w:p>
        </w:tc>
      </w:tr>
      <w:tr>
        <w:trPr>
          <w:cantSplit w:val="true"/>
          <w:trHeight w:val="461" w:hRule="atLeast"/>
        </w:trPr>
        <w:tc>
          <w:tcPr>
            <w:tcW w:type="dxa" w:w="4320"/>
          </w:tcPr>
          <w:p>
            <w:pPr>
              <w:spacing w:after="20" w:line="240" w:lineRule="auto"/>
            </w:pPr>
            <w:r/>
          </w:p>
        </w:tc>
        <w:tc>
          <w:tcPr>
            <w:tcW w:type="dxa" w:w="1872"/>
          </w:tcPr>
          <w:p>
            <w:pPr>
              <w:spacing w:after="20" w:line="240" w:lineRule="auto"/>
            </w:pPr>
            <w:r/>
          </w:p>
        </w:tc>
        <w:tc>
          <w:tcPr>
            <w:tcW w:type="dxa" w:w="3168"/>
          </w:tcPr>
          <w:p>
            <w:pPr>
              <w:spacing w:after="20" w:line="240" w:lineRule="auto"/>
            </w:pPr>
            <w:r/>
          </w:p>
        </w:tc>
      </w:tr>
      <w:tr>
        <w:trPr>
          <w:cantSplit w:val="true"/>
          <w:trHeight w:val="461" w:hRule="atLeast"/>
        </w:trPr>
        <w:tc>
          <w:tcPr>
            <w:tcW w:type="dxa" w:w="4320"/>
          </w:tcPr>
          <w:p>
            <w:pPr>
              <w:spacing w:after="20" w:line="240" w:lineRule="auto"/>
            </w:pPr>
            <w:r/>
          </w:p>
        </w:tc>
        <w:tc>
          <w:tcPr>
            <w:tcW w:type="dxa" w:w="1872"/>
          </w:tcPr>
          <w:p>
            <w:pPr>
              <w:spacing w:after="20" w:line="240" w:lineRule="auto"/>
            </w:pPr>
            <w:r/>
          </w:p>
        </w:tc>
        <w:tc>
          <w:tcPr>
            <w:tcW w:type="dxa" w:w="3168"/>
          </w:tcPr>
          <w:p>
            <w:pPr>
              <w:spacing w:after="20" w:line="240" w:lineRule="auto"/>
            </w:pPr>
            <w:r/>
          </w:p>
        </w:tc>
      </w:tr>
    </w:tbl>
    <w:p>
      <w:pPr>
        <w:spacing w:after="0" w:before="0" w:line="80" w:lineRule="exact"/>
      </w:pPr>
      <w:r>
        <w:rPr>
          <w:sz w:val="8"/>
        </w:rPr>
      </w:r>
    </w:p>
    <w:p>
      <w:pPr>
        <w:pStyle w:val="Heading1"/>
      </w:pPr>
      <w:r>
        <w:t>5. Device-adapted PICOTS frame</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2592"/>
        <w:gridCol w:w="3456"/>
        <w:gridCol w:w="3311"/>
      </w:tblGrid>
      <w:tr>
        <w:trPr>
          <w:tblHeader w:val="true"/>
          <w:cantSplit w:val="true"/>
        </w:trPr>
        <w:tc>
          <w:tcPr>
            <w:tcW w:type="dxa" w:w="2592"/>
            <w:shd w:val="clear" w:color="auto" w:fill="17375E"/>
            <w:vAlign w:val="center"/>
          </w:tcPr>
          <w:p>
            <w:pPr>
              <w:spacing w:after="20" w:line="240" w:lineRule="auto"/>
            </w:pPr>
            <w:r>
              <w:rPr>
                <w:b/>
              </w:rPr>
            </w:r>
            <w:r>
              <w:rPr>
                <w:b/>
                <w:color w:val="FFFFFF"/>
                <w:sz w:val="18"/>
              </w:rPr>
              <w:t>Element</w:t>
            </w:r>
          </w:p>
        </w:tc>
        <w:tc>
          <w:tcPr>
            <w:tcW w:type="dxa" w:w="3456"/>
            <w:shd w:val="clear" w:color="auto" w:fill="17375E"/>
            <w:vAlign w:val="center"/>
          </w:tcPr>
          <w:p>
            <w:pPr>
              <w:spacing w:after="20" w:line="240" w:lineRule="auto"/>
            </w:pPr>
            <w:r>
              <w:rPr>
                <w:b/>
              </w:rPr>
            </w:r>
            <w:r>
              <w:rPr>
                <w:b/>
                <w:color w:val="FFFFFF"/>
                <w:sz w:val="18"/>
              </w:rPr>
              <w:t>Entry</w:t>
            </w:r>
          </w:p>
        </w:tc>
        <w:tc>
          <w:tcPr>
            <w:tcW w:type="dxa" w:w="3312"/>
            <w:shd w:val="clear" w:color="auto" w:fill="17375E"/>
            <w:vAlign w:val="center"/>
          </w:tcPr>
          <w:p>
            <w:pPr>
              <w:spacing w:after="20" w:line="240" w:lineRule="auto"/>
            </w:pPr>
            <w:r>
              <w:rPr>
                <w:b/>
              </w:rPr>
            </w:r>
            <w:r>
              <w:rPr>
                <w:b/>
                <w:color w:val="FFFFFF"/>
                <w:sz w:val="18"/>
              </w:rPr>
              <w:t>What the data show (complete after analysis)</w:t>
            </w:r>
          </w:p>
        </w:tc>
      </w:tr>
      <w:tr>
        <w:trPr>
          <w:cantSplit w:val="true"/>
        </w:trPr>
        <w:tc>
          <w:tcPr>
            <w:tcW w:type="dxa" w:w="2592"/>
            <w:shd w:val="clear" w:color="auto" w:fill="DCE6F1"/>
          </w:tcPr>
          <w:p>
            <w:pPr>
              <w:spacing w:after="20" w:line="240" w:lineRule="auto"/>
            </w:pPr>
            <w:r>
              <w:rPr>
                <w:b/>
              </w:rPr>
            </w:r>
            <w:r>
              <w:rPr>
                <w:b/>
                <w:sz w:val="18"/>
              </w:rPr>
              <w:t>Device scope (model, version, lot, size, period)</w:t>
            </w:r>
          </w:p>
        </w:tc>
        <w:tc>
          <w:tcPr>
            <w:tcW w:type="dxa" w:w="3456"/>
          </w:tcPr>
          <w:p>
            <w:pPr>
              <w:spacing w:after="20" w:line="240" w:lineRule="auto"/>
            </w:pPr>
            <w:r/>
          </w:p>
        </w:tc>
        <w:tc>
          <w:tcPr>
            <w:tcW w:type="dxa" w:w="3312"/>
          </w:tcPr>
          <w:p>
            <w:pPr>
              <w:spacing w:after="20" w:line="240" w:lineRule="auto"/>
            </w:pPr>
            <w:r/>
          </w:p>
        </w:tc>
      </w:tr>
      <w:tr>
        <w:trPr>
          <w:cantSplit w:val="true"/>
        </w:trPr>
        <w:tc>
          <w:tcPr>
            <w:tcW w:type="dxa" w:w="2592"/>
            <w:shd w:val="clear" w:color="auto" w:fill="DCE6F1"/>
          </w:tcPr>
          <w:p>
            <w:pPr>
              <w:spacing w:after="20" w:line="240" w:lineRule="auto"/>
            </w:pPr>
            <w:r>
              <w:rPr>
                <w:b/>
              </w:rPr>
            </w:r>
            <w:r>
              <w:rPr>
                <w:b/>
                <w:sz w:val="18"/>
              </w:rPr>
              <w:t>Population and setting</w:t>
            </w:r>
          </w:p>
        </w:tc>
        <w:tc>
          <w:tcPr>
            <w:tcW w:type="dxa" w:w="3456"/>
          </w:tcPr>
          <w:p>
            <w:pPr>
              <w:spacing w:after="20" w:line="240" w:lineRule="auto"/>
            </w:pPr>
            <w:r/>
          </w:p>
        </w:tc>
        <w:tc>
          <w:tcPr>
            <w:tcW w:type="dxa" w:w="3312"/>
          </w:tcPr>
          <w:p>
            <w:pPr>
              <w:spacing w:after="20" w:line="240" w:lineRule="auto"/>
            </w:pPr>
            <w:r/>
          </w:p>
        </w:tc>
      </w:tr>
      <w:tr>
        <w:trPr>
          <w:cantSplit w:val="true"/>
        </w:trPr>
        <w:tc>
          <w:tcPr>
            <w:tcW w:type="dxa" w:w="2592"/>
            <w:shd w:val="clear" w:color="auto" w:fill="DCE6F1"/>
          </w:tcPr>
          <w:p>
            <w:pPr>
              <w:spacing w:after="20" w:line="240" w:lineRule="auto"/>
            </w:pPr>
            <w:r>
              <w:rPr>
                <w:b/>
              </w:rPr>
            </w:r>
            <w:r>
              <w:rPr>
                <w:b/>
                <w:sz w:val="18"/>
              </w:rPr>
              <w:t>Comparator</w:t>
            </w:r>
          </w:p>
        </w:tc>
        <w:tc>
          <w:tcPr>
            <w:tcW w:type="dxa" w:w="3456"/>
          </w:tcPr>
          <w:p>
            <w:pPr>
              <w:spacing w:after="20" w:line="240" w:lineRule="auto"/>
            </w:pPr>
            <w:r/>
          </w:p>
        </w:tc>
        <w:tc>
          <w:tcPr>
            <w:tcW w:type="dxa" w:w="3312"/>
          </w:tcPr>
          <w:p>
            <w:pPr>
              <w:spacing w:after="20" w:line="240" w:lineRule="auto"/>
            </w:pPr>
            <w:r/>
          </w:p>
        </w:tc>
      </w:tr>
      <w:tr>
        <w:trPr>
          <w:cantSplit w:val="true"/>
        </w:trPr>
        <w:tc>
          <w:tcPr>
            <w:tcW w:type="dxa" w:w="2592"/>
            <w:shd w:val="clear" w:color="auto" w:fill="DCE6F1"/>
          </w:tcPr>
          <w:p>
            <w:pPr>
              <w:spacing w:after="20" w:line="240" w:lineRule="auto"/>
            </w:pPr>
            <w:r>
              <w:rPr>
                <w:b/>
              </w:rPr>
            </w:r>
            <w:r>
              <w:rPr>
                <w:b/>
                <w:sz w:val="18"/>
              </w:rPr>
              <w:t>Outcome and time</w:t>
            </w:r>
          </w:p>
        </w:tc>
        <w:tc>
          <w:tcPr>
            <w:tcW w:type="dxa" w:w="3456"/>
          </w:tcPr>
          <w:p>
            <w:pPr>
              <w:spacing w:after="20" w:line="240" w:lineRule="auto"/>
            </w:pPr>
            <w:r/>
          </w:p>
        </w:tc>
        <w:tc>
          <w:tcPr>
            <w:tcW w:type="dxa" w:w="3312"/>
          </w:tcPr>
          <w:p>
            <w:pPr>
              <w:spacing w:after="20" w:line="240" w:lineRule="auto"/>
            </w:pPr>
            <w:r/>
          </w:p>
        </w:tc>
      </w:tr>
      <w:tr>
        <w:trPr>
          <w:cantSplit w:val="true"/>
        </w:trPr>
        <w:tc>
          <w:tcPr>
            <w:tcW w:type="dxa" w:w="2592"/>
            <w:shd w:val="clear" w:color="auto" w:fill="DCE6F1"/>
          </w:tcPr>
          <w:p>
            <w:pPr>
              <w:spacing w:after="20" w:line="240" w:lineRule="auto"/>
            </w:pPr>
            <w:r>
              <w:rPr>
                <w:b/>
              </w:rPr>
            </w:r>
            <w:r>
              <w:rPr>
                <w:b/>
                <w:sz w:val="18"/>
              </w:rPr>
              <w:t>Decision link</w:t>
            </w:r>
          </w:p>
        </w:tc>
        <w:tc>
          <w:tcPr>
            <w:tcW w:type="dxa" w:w="3456"/>
          </w:tcPr>
          <w:p>
            <w:pPr>
              <w:spacing w:after="20" w:line="240" w:lineRule="auto"/>
            </w:pPr>
            <w:r/>
          </w:p>
        </w:tc>
        <w:tc>
          <w:tcPr>
            <w:tcW w:type="dxa" w:w="3312"/>
          </w:tcPr>
          <w:p>
            <w:pPr>
              <w:spacing w:after="20" w:line="240" w:lineRule="auto"/>
            </w:pPr>
            <w:r/>
          </w:p>
        </w:tc>
      </w:tr>
    </w:tbl>
    <w:p>
      <w:pPr>
        <w:spacing w:after="0" w:before="0" w:line="80" w:lineRule="exact"/>
      </w:pPr>
      <w:r>
        <w:rPr>
          <w:sz w:val="8"/>
        </w:rPr>
      </w:r>
    </w:p>
    <w:p>
      <w:pPr>
        <w:pStyle w:val="Heading1"/>
      </w:pPr>
      <w:r>
        <w:t>6. Data sources</w:t>
      </w:r>
    </w:p>
    <w:p>
      <w:r>
        <w:rPr>
          <w:b w:val="0"/>
        </w:rPr>
        <w:t>State the limit of each source next to its use (for example, "complaints: narrative only").</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2015"/>
        <w:gridCol w:w="2592"/>
        <w:gridCol w:w="2592"/>
        <w:gridCol w:w="2160"/>
      </w:tblGrid>
      <w:tr>
        <w:trPr>
          <w:tblHeader w:val="true"/>
          <w:cantSplit w:val="true"/>
        </w:trPr>
        <w:tc>
          <w:tcPr>
            <w:tcW w:type="dxa" w:w="2016"/>
            <w:shd w:val="clear" w:color="auto" w:fill="17375E"/>
            <w:vAlign w:val="center"/>
          </w:tcPr>
          <w:p>
            <w:pPr>
              <w:spacing w:after="20" w:line="240" w:lineRule="auto"/>
            </w:pPr>
            <w:r>
              <w:rPr>
                <w:b/>
              </w:rPr>
            </w:r>
            <w:r>
              <w:rPr>
                <w:b/>
                <w:color w:val="FFFFFF"/>
                <w:sz w:val="18"/>
              </w:rPr>
              <w:t>Source</w:t>
            </w:r>
          </w:p>
        </w:tc>
        <w:tc>
          <w:tcPr>
            <w:tcW w:type="dxa" w:w="2592"/>
            <w:shd w:val="clear" w:color="auto" w:fill="17375E"/>
            <w:vAlign w:val="center"/>
          </w:tcPr>
          <w:p>
            <w:pPr>
              <w:spacing w:after="20" w:line="240" w:lineRule="auto"/>
            </w:pPr>
            <w:r>
              <w:rPr>
                <w:b/>
              </w:rPr>
            </w:r>
            <w:r>
              <w:rPr>
                <w:b/>
                <w:color w:val="FFFFFF"/>
                <w:sz w:val="18"/>
              </w:rPr>
              <w:t>Used to answer</w:t>
            </w:r>
          </w:p>
        </w:tc>
        <w:tc>
          <w:tcPr>
            <w:tcW w:type="dxa" w:w="2592"/>
            <w:shd w:val="clear" w:color="auto" w:fill="17375E"/>
            <w:vAlign w:val="center"/>
          </w:tcPr>
          <w:p>
            <w:pPr>
              <w:spacing w:after="20" w:line="240" w:lineRule="auto"/>
            </w:pPr>
            <w:r>
              <w:rPr>
                <w:b/>
              </w:rPr>
            </w:r>
            <w:r>
              <w:rPr>
                <w:b/>
                <w:color w:val="FFFFFF"/>
                <w:sz w:val="18"/>
              </w:rPr>
              <w:t>Cannot answer / limit</w:t>
            </w:r>
          </w:p>
        </w:tc>
        <w:tc>
          <w:tcPr>
            <w:tcW w:type="dxa" w:w="2160"/>
            <w:shd w:val="clear" w:color="auto" w:fill="17375E"/>
            <w:vAlign w:val="center"/>
          </w:tcPr>
          <w:p>
            <w:pPr>
              <w:spacing w:after="20" w:line="240" w:lineRule="auto"/>
            </w:pPr>
            <w:r>
              <w:rPr>
                <w:b/>
              </w:rPr>
            </w:r>
            <w:r>
              <w:rPr>
                <w:b/>
                <w:color w:val="FFFFFF"/>
                <w:sz w:val="18"/>
              </w:rPr>
              <w:t>Data owner and request date</w:t>
            </w:r>
          </w:p>
        </w:tc>
      </w:tr>
      <w:tr>
        <w:trPr>
          <w:cantSplit w:val="true"/>
          <w:trHeight w:val="461" w:hRule="atLeast"/>
        </w:trPr>
        <w:tc>
          <w:tcPr>
            <w:tcW w:type="dxa" w:w="2016"/>
          </w:tcPr>
          <w:p>
            <w:pPr>
              <w:spacing w:after="20" w:line="240" w:lineRule="auto"/>
            </w:pPr>
            <w:r/>
          </w:p>
        </w:tc>
        <w:tc>
          <w:tcPr>
            <w:tcW w:type="dxa" w:w="2592"/>
          </w:tcPr>
          <w:p>
            <w:pPr>
              <w:spacing w:after="20" w:line="240" w:lineRule="auto"/>
            </w:pPr>
            <w:r/>
          </w:p>
        </w:tc>
        <w:tc>
          <w:tcPr>
            <w:tcW w:type="dxa" w:w="2592"/>
          </w:tcPr>
          <w:p>
            <w:pPr>
              <w:spacing w:after="20" w:line="240" w:lineRule="auto"/>
            </w:pPr>
            <w:r/>
          </w:p>
        </w:tc>
        <w:tc>
          <w:tcPr>
            <w:tcW w:type="dxa" w:w="2160"/>
          </w:tcPr>
          <w:p>
            <w:pPr>
              <w:spacing w:after="20" w:line="240" w:lineRule="auto"/>
            </w:pPr>
            <w:r/>
          </w:p>
        </w:tc>
      </w:tr>
      <w:tr>
        <w:trPr>
          <w:cantSplit w:val="true"/>
          <w:trHeight w:val="461" w:hRule="atLeast"/>
        </w:trPr>
        <w:tc>
          <w:tcPr>
            <w:tcW w:type="dxa" w:w="2016"/>
          </w:tcPr>
          <w:p>
            <w:pPr>
              <w:spacing w:after="20" w:line="240" w:lineRule="auto"/>
            </w:pPr>
            <w:r/>
          </w:p>
        </w:tc>
        <w:tc>
          <w:tcPr>
            <w:tcW w:type="dxa" w:w="2592"/>
          </w:tcPr>
          <w:p>
            <w:pPr>
              <w:spacing w:after="20" w:line="240" w:lineRule="auto"/>
            </w:pPr>
            <w:r/>
          </w:p>
        </w:tc>
        <w:tc>
          <w:tcPr>
            <w:tcW w:type="dxa" w:w="2592"/>
          </w:tcPr>
          <w:p>
            <w:pPr>
              <w:spacing w:after="20" w:line="240" w:lineRule="auto"/>
            </w:pPr>
            <w:r/>
          </w:p>
        </w:tc>
        <w:tc>
          <w:tcPr>
            <w:tcW w:type="dxa" w:w="2160"/>
          </w:tcPr>
          <w:p>
            <w:pPr>
              <w:spacing w:after="20" w:line="240" w:lineRule="auto"/>
            </w:pPr>
            <w:r/>
          </w:p>
        </w:tc>
      </w:tr>
      <w:tr>
        <w:trPr>
          <w:cantSplit w:val="true"/>
          <w:trHeight w:val="461" w:hRule="atLeast"/>
        </w:trPr>
        <w:tc>
          <w:tcPr>
            <w:tcW w:type="dxa" w:w="2016"/>
          </w:tcPr>
          <w:p>
            <w:pPr>
              <w:spacing w:after="20" w:line="240" w:lineRule="auto"/>
            </w:pPr>
            <w:r/>
          </w:p>
        </w:tc>
        <w:tc>
          <w:tcPr>
            <w:tcW w:type="dxa" w:w="2592"/>
          </w:tcPr>
          <w:p>
            <w:pPr>
              <w:spacing w:after="20" w:line="240" w:lineRule="auto"/>
            </w:pPr>
            <w:r/>
          </w:p>
        </w:tc>
        <w:tc>
          <w:tcPr>
            <w:tcW w:type="dxa" w:w="2592"/>
          </w:tcPr>
          <w:p>
            <w:pPr>
              <w:spacing w:after="20" w:line="240" w:lineRule="auto"/>
            </w:pPr>
            <w:r/>
          </w:p>
        </w:tc>
        <w:tc>
          <w:tcPr>
            <w:tcW w:type="dxa" w:w="2160"/>
          </w:tcPr>
          <w:p>
            <w:pPr>
              <w:spacing w:after="20" w:line="240" w:lineRule="auto"/>
            </w:pPr>
            <w:r/>
          </w:p>
        </w:tc>
      </w:tr>
      <w:tr>
        <w:trPr>
          <w:cantSplit w:val="true"/>
          <w:trHeight w:val="461" w:hRule="atLeast"/>
        </w:trPr>
        <w:tc>
          <w:tcPr>
            <w:tcW w:type="dxa" w:w="2016"/>
          </w:tcPr>
          <w:p>
            <w:pPr>
              <w:spacing w:after="20" w:line="240" w:lineRule="auto"/>
            </w:pPr>
            <w:r/>
          </w:p>
        </w:tc>
        <w:tc>
          <w:tcPr>
            <w:tcW w:type="dxa" w:w="2592"/>
          </w:tcPr>
          <w:p>
            <w:pPr>
              <w:spacing w:after="20" w:line="240" w:lineRule="auto"/>
            </w:pPr>
            <w:r/>
          </w:p>
        </w:tc>
        <w:tc>
          <w:tcPr>
            <w:tcW w:type="dxa" w:w="2592"/>
          </w:tcPr>
          <w:p>
            <w:pPr>
              <w:spacing w:after="20" w:line="240" w:lineRule="auto"/>
            </w:pPr>
            <w:r/>
          </w:p>
        </w:tc>
        <w:tc>
          <w:tcPr>
            <w:tcW w:type="dxa" w:w="2160"/>
          </w:tcPr>
          <w:p>
            <w:pPr>
              <w:spacing w:after="20" w:line="240" w:lineRule="auto"/>
            </w:pPr>
            <w:r/>
          </w:p>
        </w:tc>
      </w:tr>
      <w:tr>
        <w:trPr>
          <w:cantSplit w:val="true"/>
          <w:trHeight w:val="461" w:hRule="atLeast"/>
        </w:trPr>
        <w:tc>
          <w:tcPr>
            <w:tcW w:type="dxa" w:w="2016"/>
          </w:tcPr>
          <w:p>
            <w:pPr>
              <w:spacing w:after="20" w:line="240" w:lineRule="auto"/>
            </w:pPr>
            <w:r/>
          </w:p>
        </w:tc>
        <w:tc>
          <w:tcPr>
            <w:tcW w:type="dxa" w:w="2592"/>
          </w:tcPr>
          <w:p>
            <w:pPr>
              <w:spacing w:after="20" w:line="240" w:lineRule="auto"/>
            </w:pPr>
            <w:r/>
          </w:p>
        </w:tc>
        <w:tc>
          <w:tcPr>
            <w:tcW w:type="dxa" w:w="2592"/>
          </w:tcPr>
          <w:p>
            <w:pPr>
              <w:spacing w:after="20" w:line="240" w:lineRule="auto"/>
            </w:pPr>
            <w:r/>
          </w:p>
        </w:tc>
        <w:tc>
          <w:tcPr>
            <w:tcW w:type="dxa" w:w="2160"/>
          </w:tcPr>
          <w:p>
            <w:pPr>
              <w:spacing w:after="20" w:line="240" w:lineRule="auto"/>
            </w:pPr>
            <w:r/>
          </w:p>
        </w:tc>
      </w:tr>
    </w:tbl>
    <w:p>
      <w:pPr>
        <w:spacing w:after="0" w:before="0" w:line="80" w:lineRule="exact"/>
      </w:pPr>
      <w:r>
        <w:rPr>
          <w:sz w:val="8"/>
        </w:rPr>
      </w:r>
    </w:p>
    <w:p>
      <w:pPr>
        <w:pStyle w:val="Heading1"/>
      </w:pPr>
      <w:r>
        <w:t>7. Analysis methods</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3456"/>
        <w:gridCol w:w="5903"/>
      </w:tblGrid>
      <w:tr>
        <w:trPr>
          <w:cantSplit w:val="true"/>
          <w:trHeight w:val="648" w:hRule="atLeast"/>
        </w:trPr>
        <w:tc>
          <w:tcPr>
            <w:tcW w:type="dxa" w:w="3456"/>
            <w:shd w:val="clear" w:color="auto" w:fill="DCE6F1"/>
          </w:tcPr>
          <w:p>
            <w:pPr>
              <w:spacing w:after="20" w:line="240" w:lineRule="auto"/>
            </w:pPr>
            <w:r>
              <w:rPr>
                <w:b/>
              </w:rPr>
            </w:r>
            <w:r>
              <w:rPr>
                <w:b/>
                <w:sz w:val="18"/>
              </w:rPr>
              <w:t>Statistics and methods (e.g., O/E with exact interval; funnel limits; Kaplan–Meier; rates by stratum)</w:t>
            </w:r>
          </w:p>
        </w:tc>
        <w:tc>
          <w:tcPr>
            <w:tcW w:type="dxa" w:w="5904"/>
          </w:tcPr>
          <w:p>
            <w:pPr>
              <w:spacing w:after="20" w:line="240" w:lineRule="auto"/>
            </w:pPr>
            <w:r/>
          </w:p>
        </w:tc>
      </w:tr>
      <w:tr>
        <w:trPr>
          <w:cantSplit w:val="true"/>
          <w:trHeight w:val="648" w:hRule="atLeast"/>
        </w:trPr>
        <w:tc>
          <w:tcPr>
            <w:tcW w:type="dxa" w:w="3456"/>
            <w:shd w:val="clear" w:color="auto" w:fill="DCE6F1"/>
          </w:tcPr>
          <w:p>
            <w:pPr>
              <w:spacing w:after="20" w:line="240" w:lineRule="auto"/>
            </w:pPr>
            <w:r>
              <w:rPr>
                <w:b/>
              </w:rPr>
            </w:r>
            <w:r>
              <w:rPr>
                <w:b/>
                <w:sz w:val="18"/>
              </w:rPr>
              <w:t>Handling of missing data and duplicates</w:t>
            </w:r>
          </w:p>
        </w:tc>
        <w:tc>
          <w:tcPr>
            <w:tcW w:type="dxa" w:w="5904"/>
          </w:tcPr>
          <w:p>
            <w:pPr>
              <w:spacing w:after="20" w:line="240" w:lineRule="auto"/>
            </w:pPr>
            <w:r/>
          </w:p>
        </w:tc>
      </w:tr>
      <w:tr>
        <w:trPr>
          <w:cantSplit w:val="true"/>
          <w:trHeight w:val="648" w:hRule="atLeast"/>
        </w:trPr>
        <w:tc>
          <w:tcPr>
            <w:tcW w:type="dxa" w:w="3456"/>
            <w:shd w:val="clear" w:color="auto" w:fill="DCE6F1"/>
          </w:tcPr>
          <w:p>
            <w:pPr>
              <w:spacing w:after="20" w:line="240" w:lineRule="auto"/>
            </w:pPr>
            <w:r>
              <w:rPr>
                <w:b/>
              </w:rPr>
            </w:r>
            <w:r>
              <w:rPr>
                <w:b/>
                <w:sz w:val="18"/>
              </w:rPr>
              <w:t>Tools used (e.g., T-6, T-7, T-8)</w:t>
            </w:r>
          </w:p>
        </w:tc>
        <w:tc>
          <w:tcPr>
            <w:tcW w:type="dxa" w:w="5904"/>
          </w:tcPr>
          <w:p>
            <w:pPr>
              <w:spacing w:after="20" w:line="240" w:lineRule="auto"/>
            </w:pPr>
            <w:r/>
          </w:p>
        </w:tc>
      </w:tr>
    </w:tbl>
    <w:p>
      <w:pPr>
        <w:spacing w:after="0" w:before="0" w:line="80" w:lineRule="exact"/>
      </w:pPr>
      <w:r>
        <w:rPr>
          <w:sz w:val="8"/>
        </w:rPr>
      </w:r>
    </w:p>
    <w:p>
      <w:pPr>
        <w:pStyle w:val="Heading1"/>
      </w:pPr>
      <w:r>
        <w:t>8. Decision link</w:t>
      </w:r>
    </w:p>
    <w:p>
      <w:r>
        <w:rPr>
          <w:b w:val="0"/>
        </w:rPr>
        <w:t>Pre-set the action for each possible finding, before the data are seen.</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2592"/>
        <w:gridCol w:w="6768"/>
      </w:tblGrid>
      <w:tr>
        <w:trPr>
          <w:tblHeader w:val="true"/>
          <w:cantSplit w:val="true"/>
        </w:trPr>
        <w:tc>
          <w:tcPr>
            <w:tcW w:type="dxa" w:w="2592"/>
            <w:shd w:val="clear" w:color="auto" w:fill="17375E"/>
            <w:vAlign w:val="center"/>
          </w:tcPr>
          <w:p>
            <w:pPr>
              <w:spacing w:after="20" w:line="240" w:lineRule="auto"/>
            </w:pPr>
            <w:r>
              <w:rPr>
                <w:b/>
              </w:rPr>
            </w:r>
            <w:r>
              <w:rPr>
                <w:b/>
                <w:color w:val="FFFFFF"/>
                <w:sz w:val="18"/>
              </w:rPr>
              <w:t>Possible finding</w:t>
            </w:r>
          </w:p>
        </w:tc>
        <w:tc>
          <w:tcPr>
            <w:tcW w:type="dxa" w:w="6768"/>
            <w:shd w:val="clear" w:color="auto" w:fill="17375E"/>
            <w:vAlign w:val="center"/>
          </w:tcPr>
          <w:p>
            <w:pPr>
              <w:spacing w:after="20" w:line="240" w:lineRule="auto"/>
            </w:pPr>
            <w:r>
              <w:rPr>
                <w:b/>
              </w:rPr>
            </w:r>
            <w:r>
              <w:rPr>
                <w:b/>
                <w:color w:val="FFFFFF"/>
                <w:sz w:val="18"/>
              </w:rPr>
              <w:t>Pre-set action</w:t>
            </w:r>
          </w:p>
        </w:tc>
      </w:tr>
      <w:tr>
        <w:trPr>
          <w:cantSplit w:val="true"/>
        </w:trPr>
        <w:tc>
          <w:tcPr>
            <w:tcW w:type="dxa" w:w="2592"/>
            <w:shd w:val="clear" w:color="auto" w:fill="DCE6F1"/>
          </w:tcPr>
          <w:p>
            <w:pPr>
              <w:spacing w:after="20" w:line="240" w:lineRule="auto"/>
            </w:pPr>
            <w:r>
              <w:rPr>
                <w:b/>
              </w:rPr>
            </w:r>
            <w:r>
              <w:rPr>
                <w:b/>
                <w:sz w:val="18"/>
              </w:rPr>
              <w:t>No excess</w:t>
            </w:r>
          </w:p>
        </w:tc>
        <w:tc>
          <w:tcPr>
            <w:tcW w:type="dxa" w:w="6768"/>
          </w:tcPr>
          <w:p>
            <w:pPr>
              <w:spacing w:after="20" w:line="240" w:lineRule="auto"/>
            </w:pPr>
            <w:r/>
          </w:p>
        </w:tc>
      </w:tr>
      <w:tr>
        <w:trPr>
          <w:cantSplit w:val="true"/>
        </w:trPr>
        <w:tc>
          <w:tcPr>
            <w:tcW w:type="dxa" w:w="2592"/>
            <w:shd w:val="clear" w:color="auto" w:fill="DCE6F1"/>
          </w:tcPr>
          <w:p>
            <w:pPr>
              <w:spacing w:after="20" w:line="240" w:lineRule="auto"/>
            </w:pPr>
            <w:r>
              <w:rPr>
                <w:b/>
              </w:rPr>
            </w:r>
            <w:r>
              <w:rPr>
                <w:b/>
                <w:sz w:val="18"/>
              </w:rPr>
              <w:t>Diffuse excess</w:t>
            </w:r>
          </w:p>
        </w:tc>
        <w:tc>
          <w:tcPr>
            <w:tcW w:type="dxa" w:w="6768"/>
          </w:tcPr>
          <w:p>
            <w:pPr>
              <w:spacing w:after="20" w:line="240" w:lineRule="auto"/>
            </w:pPr>
            <w:r/>
          </w:p>
        </w:tc>
      </w:tr>
      <w:tr>
        <w:trPr>
          <w:cantSplit w:val="true"/>
        </w:trPr>
        <w:tc>
          <w:tcPr>
            <w:tcW w:type="dxa" w:w="2592"/>
            <w:shd w:val="clear" w:color="auto" w:fill="DCE6F1"/>
          </w:tcPr>
          <w:p>
            <w:pPr>
              <w:spacing w:after="20" w:line="240" w:lineRule="auto"/>
            </w:pPr>
            <w:r>
              <w:rPr>
                <w:b/>
              </w:rPr>
            </w:r>
            <w:r>
              <w:rPr>
                <w:b/>
                <w:sz w:val="18"/>
              </w:rPr>
              <w:t>Concentrated excess</w:t>
            </w:r>
          </w:p>
        </w:tc>
        <w:tc>
          <w:tcPr>
            <w:tcW w:type="dxa" w:w="6768"/>
          </w:tcPr>
          <w:p>
            <w:pPr>
              <w:spacing w:after="20" w:line="240" w:lineRule="auto"/>
            </w:pPr>
            <w:r/>
          </w:p>
        </w:tc>
      </w:tr>
      <w:tr>
        <w:trPr>
          <w:cantSplit w:val="true"/>
        </w:trPr>
        <w:tc>
          <w:tcPr>
            <w:tcW w:type="dxa" w:w="2592"/>
            <w:shd w:val="clear" w:color="auto" w:fill="DCE6F1"/>
          </w:tcPr>
          <w:p>
            <w:pPr>
              <w:spacing w:after="20" w:line="240" w:lineRule="auto"/>
            </w:pPr>
            <w:r>
              <w:rPr>
                <w:b/>
              </w:rPr>
            </w:r>
            <w:r>
              <w:rPr>
                <w:b/>
                <w:sz w:val="18"/>
              </w:rPr>
              <w:t>Indeterminate</w:t>
            </w:r>
          </w:p>
        </w:tc>
        <w:tc>
          <w:tcPr>
            <w:tcW w:type="dxa" w:w="6768"/>
          </w:tcPr>
          <w:p>
            <w:pPr>
              <w:spacing w:after="20" w:line="240" w:lineRule="auto"/>
            </w:pPr>
            <w:r/>
          </w:p>
        </w:tc>
      </w:tr>
    </w:tbl>
    <w:p>
      <w:pPr>
        <w:spacing w:after="0" w:before="0" w:line="80" w:lineRule="exact"/>
      </w:pPr>
      <w:r>
        <w:rPr>
          <w:sz w:val="8"/>
        </w:rPr>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3456"/>
        <w:gridCol w:w="5903"/>
      </w:tblGrid>
      <w:tr>
        <w:trPr>
          <w:cantSplit w:val="true"/>
          <w:trHeight w:val="576" w:hRule="atLeast"/>
        </w:trPr>
        <w:tc>
          <w:tcPr>
            <w:tcW w:type="dxa" w:w="3456"/>
            <w:shd w:val="clear" w:color="auto" w:fill="DCE6F1"/>
          </w:tcPr>
          <w:p>
            <w:pPr>
              <w:spacing w:after="20" w:line="240" w:lineRule="auto"/>
            </w:pPr>
            <w:r>
              <w:rPr>
                <w:b/>
              </w:rPr>
            </w:r>
            <w:r>
              <w:rPr>
                <w:b/>
                <w:sz w:val="18"/>
              </w:rPr>
              <w:t>Out of scope (and where it is handled)</w:t>
            </w:r>
          </w:p>
        </w:tc>
        <w:tc>
          <w:tcPr>
            <w:tcW w:type="dxa" w:w="5904"/>
          </w:tcPr>
          <w:p>
            <w:pPr>
              <w:spacing w:after="20" w:line="240" w:lineRule="auto"/>
            </w:pPr>
            <w:r/>
          </w:p>
        </w:tc>
      </w:tr>
    </w:tbl>
    <w:p>
      <w:pPr>
        <w:spacing w:after="0" w:before="0" w:line="80" w:lineRule="exact"/>
      </w:pPr>
      <w:r>
        <w:rPr>
          <w:sz w:val="8"/>
        </w:rPr>
      </w:r>
    </w:p>
    <w:p>
      <w:pPr>
        <w:pStyle w:val="Heading1"/>
      </w:pPr>
      <w:r>
        <w:t>9. Sign-off (before any data request)</w:t>
      </w:r>
    </w:p>
    <w:p>
      <w:pPr>
        <w:pStyle w:val="Heading3"/>
      </w:pPr>
      <w:r>
        <w:t>Approval</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3168"/>
        <w:gridCol w:w="2592"/>
        <w:gridCol w:w="2304"/>
        <w:gridCol w:w="1296"/>
      </w:tblGrid>
      <w:tr>
        <w:trPr>
          <w:tblHeader w:val="true"/>
          <w:cantSplit w:val="true"/>
        </w:trPr>
        <w:tc>
          <w:tcPr>
            <w:tcW w:type="dxa" w:w="3168"/>
            <w:shd w:val="clear" w:color="auto" w:fill="17375E"/>
            <w:vAlign w:val="center"/>
          </w:tcPr>
          <w:p>
            <w:pPr>
              <w:spacing w:after="20" w:line="240" w:lineRule="auto"/>
            </w:pPr>
            <w:r>
              <w:rPr>
                <w:b/>
              </w:rPr>
            </w:r>
            <w:r>
              <w:rPr>
                <w:b/>
                <w:color w:val="FFFFFF"/>
                <w:sz w:val="18"/>
              </w:rPr>
              <w:t>Role</w:t>
            </w:r>
          </w:p>
        </w:tc>
        <w:tc>
          <w:tcPr>
            <w:tcW w:type="dxa" w:w="2592"/>
            <w:shd w:val="clear" w:color="auto" w:fill="17375E"/>
            <w:vAlign w:val="center"/>
          </w:tcPr>
          <w:p>
            <w:pPr>
              <w:spacing w:after="20" w:line="240" w:lineRule="auto"/>
            </w:pPr>
            <w:r>
              <w:rPr>
                <w:b/>
              </w:rPr>
            </w:r>
            <w:r>
              <w:rPr>
                <w:b/>
                <w:color w:val="FFFFFF"/>
                <w:sz w:val="18"/>
              </w:rPr>
              <w:t>Name</w:t>
            </w:r>
          </w:p>
        </w:tc>
        <w:tc>
          <w:tcPr>
            <w:tcW w:type="dxa" w:w="2304"/>
            <w:shd w:val="clear" w:color="auto" w:fill="17375E"/>
            <w:vAlign w:val="center"/>
          </w:tcPr>
          <w:p>
            <w:pPr>
              <w:spacing w:after="20" w:line="240" w:lineRule="auto"/>
            </w:pPr>
            <w:r>
              <w:rPr>
                <w:b/>
              </w:rPr>
            </w:r>
            <w:r>
              <w:rPr>
                <w:b/>
                <w:color w:val="FFFFFF"/>
                <w:sz w:val="18"/>
              </w:rPr>
              <w:t>Signature</w:t>
            </w:r>
          </w:p>
        </w:tc>
        <w:tc>
          <w:tcPr>
            <w:tcW w:type="dxa" w:w="1296"/>
            <w:shd w:val="clear" w:color="auto" w:fill="17375E"/>
            <w:vAlign w:val="center"/>
          </w:tcPr>
          <w:p>
            <w:pPr>
              <w:spacing w:after="20" w:line="240" w:lineRule="auto"/>
            </w:pPr>
            <w:r>
              <w:rPr>
                <w:b/>
              </w:rPr>
            </w:r>
            <w:r>
              <w:rPr>
                <w:b/>
                <w:color w:val="FFFFFF"/>
                <w:sz w:val="18"/>
              </w:rPr>
              <w:t>Date</w:t>
            </w:r>
          </w:p>
        </w:tc>
      </w:tr>
      <w:tr>
        <w:trPr>
          <w:cantSplit w:val="true"/>
        </w:trPr>
        <w:tc>
          <w:tcPr>
            <w:tcW w:type="dxa" w:w="3168"/>
            <w:shd w:val="clear" w:color="auto" w:fill="DCE6F1"/>
          </w:tcPr>
          <w:p>
            <w:pPr>
              <w:spacing w:after="20" w:line="240" w:lineRule="auto"/>
            </w:pPr>
            <w:r>
              <w:rPr>
                <w:b/>
              </w:rPr>
            </w:r>
            <w:r>
              <w:rPr>
                <w:b/>
                <w:sz w:val="18"/>
              </w:rPr>
              <w:t>Signal owner</w:t>
            </w:r>
          </w:p>
        </w:tc>
        <w:tc>
          <w:tcPr>
            <w:tcW w:type="dxa" w:w="2592"/>
          </w:tcPr>
          <w:p>
            <w:pPr>
              <w:spacing w:after="20" w:line="240" w:lineRule="auto"/>
            </w:pPr>
            <w:r/>
          </w:p>
        </w:tc>
        <w:tc>
          <w:tcPr>
            <w:tcW w:type="dxa" w:w="2304"/>
          </w:tcPr>
          <w:p>
            <w:pPr>
              <w:spacing w:after="20" w:line="240" w:lineRule="auto"/>
            </w:pPr>
            <w:r/>
          </w:p>
        </w:tc>
        <w:tc>
          <w:tcPr>
            <w:tcW w:type="dxa" w:w="1296"/>
          </w:tcPr>
          <w:p>
            <w:pPr>
              <w:spacing w:after="20" w:line="240" w:lineRule="auto"/>
            </w:pPr>
            <w:r/>
          </w:p>
        </w:tc>
      </w:tr>
      <w:tr>
        <w:trPr>
          <w:cantSplit w:val="true"/>
        </w:trPr>
        <w:tc>
          <w:tcPr>
            <w:tcW w:type="dxa" w:w="3168"/>
            <w:shd w:val="clear" w:color="auto" w:fill="DCE6F1"/>
          </w:tcPr>
          <w:p>
            <w:pPr>
              <w:spacing w:after="20" w:line="240" w:lineRule="auto"/>
            </w:pPr>
            <w:r>
              <w:rPr>
                <w:b/>
              </w:rPr>
            </w:r>
            <w:r>
              <w:rPr>
                <w:b/>
                <w:sz w:val="18"/>
              </w:rPr>
              <w:t>Clinical lead</w:t>
            </w:r>
          </w:p>
        </w:tc>
        <w:tc>
          <w:tcPr>
            <w:tcW w:type="dxa" w:w="2592"/>
          </w:tcPr>
          <w:p>
            <w:pPr>
              <w:spacing w:after="20" w:line="240" w:lineRule="auto"/>
            </w:pPr>
            <w:r/>
          </w:p>
        </w:tc>
        <w:tc>
          <w:tcPr>
            <w:tcW w:type="dxa" w:w="2304"/>
          </w:tcPr>
          <w:p>
            <w:pPr>
              <w:spacing w:after="20" w:line="240" w:lineRule="auto"/>
            </w:pPr>
            <w:r/>
          </w:p>
        </w:tc>
        <w:tc>
          <w:tcPr>
            <w:tcW w:type="dxa" w:w="1296"/>
          </w:tcPr>
          <w:p>
            <w:pPr>
              <w:spacing w:after="20" w:line="240" w:lineRule="auto"/>
            </w:pPr>
            <w:r/>
          </w:p>
        </w:tc>
      </w:tr>
      <w:tr>
        <w:trPr>
          <w:cantSplit w:val="true"/>
        </w:trPr>
        <w:tc>
          <w:tcPr>
            <w:tcW w:type="dxa" w:w="3168"/>
            <w:shd w:val="clear" w:color="auto" w:fill="DCE6F1"/>
          </w:tcPr>
          <w:p>
            <w:pPr>
              <w:spacing w:after="20" w:line="240" w:lineRule="auto"/>
            </w:pPr>
            <w:r>
              <w:rPr>
                <w:b/>
              </w:rPr>
            </w:r>
            <w:r>
              <w:rPr>
                <w:b/>
                <w:sz w:val="18"/>
              </w:rPr>
              <w:t>Statistician</w:t>
            </w:r>
          </w:p>
        </w:tc>
        <w:tc>
          <w:tcPr>
            <w:tcW w:type="dxa" w:w="2592"/>
          </w:tcPr>
          <w:p>
            <w:pPr>
              <w:spacing w:after="20" w:line="240" w:lineRule="auto"/>
            </w:pPr>
            <w:r/>
          </w:p>
        </w:tc>
        <w:tc>
          <w:tcPr>
            <w:tcW w:type="dxa" w:w="2304"/>
          </w:tcPr>
          <w:p>
            <w:pPr>
              <w:spacing w:after="20" w:line="240" w:lineRule="auto"/>
            </w:pPr>
            <w:r/>
          </w:p>
        </w:tc>
        <w:tc>
          <w:tcPr>
            <w:tcW w:type="dxa" w:w="1296"/>
          </w:tcPr>
          <w:p>
            <w:pPr>
              <w:spacing w:after="20" w:line="240" w:lineRule="auto"/>
            </w:pPr>
            <w:r/>
          </w:p>
        </w:tc>
      </w:tr>
    </w:tbl>
    <w:p>
      <w:pPr>
        <w:spacing w:after="0" w:before="0" w:line="80" w:lineRule="exact"/>
      </w:pPr>
      <w:r>
        <w:rPr>
          <w:sz w:val="8"/>
        </w:rPr>
      </w:r>
    </w:p>
    <w:p>
      <w:pPr>
        <w:pStyle w:val="Heading2"/>
      </w:pPr>
      <w:r>
        <w:t>Amendment log</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1152"/>
        <w:gridCol w:w="2592"/>
        <w:gridCol w:w="2592"/>
        <w:gridCol w:w="1584"/>
        <w:gridCol w:w="1440"/>
      </w:tblGrid>
      <w:tr>
        <w:trPr>
          <w:tblHeader w:val="true"/>
          <w:cantSplit w:val="true"/>
        </w:trPr>
        <w:tc>
          <w:tcPr>
            <w:tcW w:type="dxa" w:w="1152"/>
            <w:shd w:val="clear" w:color="auto" w:fill="17375E"/>
            <w:vAlign w:val="center"/>
          </w:tcPr>
          <w:p>
            <w:pPr>
              <w:spacing w:after="20" w:line="240" w:lineRule="auto"/>
            </w:pPr>
            <w:r>
              <w:rPr>
                <w:b/>
              </w:rPr>
            </w:r>
            <w:r>
              <w:rPr>
                <w:b/>
                <w:color w:val="FFFFFF"/>
                <w:sz w:val="18"/>
              </w:rPr>
              <w:t>Date</w:t>
            </w:r>
          </w:p>
        </w:tc>
        <w:tc>
          <w:tcPr>
            <w:tcW w:type="dxa" w:w="2592"/>
            <w:shd w:val="clear" w:color="auto" w:fill="17375E"/>
            <w:vAlign w:val="center"/>
          </w:tcPr>
          <w:p>
            <w:pPr>
              <w:spacing w:after="20" w:line="240" w:lineRule="auto"/>
            </w:pPr>
            <w:r>
              <w:rPr>
                <w:b/>
              </w:rPr>
            </w:r>
            <w:r>
              <w:rPr>
                <w:b/>
                <w:color w:val="FFFFFF"/>
                <w:sz w:val="18"/>
              </w:rPr>
              <w:t>Change</w:t>
            </w:r>
          </w:p>
        </w:tc>
        <w:tc>
          <w:tcPr>
            <w:tcW w:type="dxa" w:w="2592"/>
            <w:shd w:val="clear" w:color="auto" w:fill="17375E"/>
            <w:vAlign w:val="center"/>
          </w:tcPr>
          <w:p>
            <w:pPr>
              <w:spacing w:after="20" w:line="240" w:lineRule="auto"/>
            </w:pPr>
            <w:r>
              <w:rPr>
                <w:b/>
              </w:rPr>
            </w:r>
            <w:r>
              <w:rPr>
                <w:b/>
                <w:color w:val="FFFFFF"/>
                <w:sz w:val="18"/>
              </w:rPr>
              <w:t>Reason</w:t>
            </w:r>
          </w:p>
        </w:tc>
        <w:tc>
          <w:tcPr>
            <w:tcW w:type="dxa" w:w="1584"/>
            <w:shd w:val="clear" w:color="auto" w:fill="17375E"/>
            <w:vAlign w:val="center"/>
          </w:tcPr>
          <w:p>
            <w:pPr>
              <w:spacing w:after="20" w:line="240" w:lineRule="auto"/>
            </w:pPr>
            <w:r>
              <w:rPr>
                <w:b/>
              </w:rPr>
            </w:r>
            <w:r>
              <w:rPr>
                <w:b/>
                <w:color w:val="FFFFFF"/>
                <w:sz w:val="18"/>
              </w:rPr>
              <w:t>Pre-specified or exploratory</w:t>
            </w:r>
          </w:p>
        </w:tc>
        <w:tc>
          <w:tcPr>
            <w:tcW w:type="dxa" w:w="1440"/>
            <w:shd w:val="clear" w:color="auto" w:fill="17375E"/>
            <w:vAlign w:val="center"/>
          </w:tcPr>
          <w:p>
            <w:pPr>
              <w:spacing w:after="20" w:line="240" w:lineRule="auto"/>
            </w:pPr>
            <w:r>
              <w:rPr>
                <w:b/>
              </w:rPr>
            </w:r>
            <w:r>
              <w:rPr>
                <w:b/>
                <w:color w:val="FFFFFF"/>
                <w:sz w:val="18"/>
              </w:rPr>
              <w:t>Approved by</w:t>
            </w:r>
          </w:p>
        </w:tc>
      </w:tr>
      <w:tr>
        <w:trPr>
          <w:cantSplit w:val="true"/>
          <w:trHeight w:val="461" w:hRule="atLeast"/>
        </w:trPr>
        <w:tc>
          <w:tcPr>
            <w:tcW w:type="dxa" w:w="1152"/>
          </w:tcPr>
          <w:p>
            <w:pPr>
              <w:spacing w:after="20" w:line="240" w:lineRule="auto"/>
            </w:pPr>
            <w:r/>
          </w:p>
        </w:tc>
        <w:tc>
          <w:tcPr>
            <w:tcW w:type="dxa" w:w="2592"/>
          </w:tcPr>
          <w:p>
            <w:pPr>
              <w:spacing w:after="20" w:line="240" w:lineRule="auto"/>
            </w:pPr>
            <w:r/>
          </w:p>
        </w:tc>
        <w:tc>
          <w:tcPr>
            <w:tcW w:type="dxa" w:w="2592"/>
          </w:tcPr>
          <w:p>
            <w:pPr>
              <w:spacing w:after="20" w:line="240" w:lineRule="auto"/>
            </w:pPr>
            <w:r/>
          </w:p>
        </w:tc>
        <w:tc>
          <w:tcPr>
            <w:tcW w:type="dxa" w:w="1584"/>
          </w:tcPr>
          <w:p>
            <w:pPr>
              <w:spacing w:after="20" w:line="240" w:lineRule="auto"/>
            </w:pPr>
            <w:r/>
          </w:p>
        </w:tc>
        <w:tc>
          <w:tcPr>
            <w:tcW w:type="dxa" w:w="1440"/>
          </w:tcPr>
          <w:p>
            <w:pPr>
              <w:spacing w:after="20" w:line="240" w:lineRule="auto"/>
            </w:pPr>
            <w:r/>
          </w:p>
        </w:tc>
      </w:tr>
      <w:tr>
        <w:trPr>
          <w:cantSplit w:val="true"/>
          <w:trHeight w:val="461" w:hRule="atLeast"/>
        </w:trPr>
        <w:tc>
          <w:tcPr>
            <w:tcW w:type="dxa" w:w="1152"/>
          </w:tcPr>
          <w:p>
            <w:pPr>
              <w:spacing w:after="20" w:line="240" w:lineRule="auto"/>
            </w:pPr>
            <w:r/>
          </w:p>
        </w:tc>
        <w:tc>
          <w:tcPr>
            <w:tcW w:type="dxa" w:w="2592"/>
          </w:tcPr>
          <w:p>
            <w:pPr>
              <w:spacing w:after="20" w:line="240" w:lineRule="auto"/>
            </w:pPr>
            <w:r/>
          </w:p>
        </w:tc>
        <w:tc>
          <w:tcPr>
            <w:tcW w:type="dxa" w:w="2592"/>
          </w:tcPr>
          <w:p>
            <w:pPr>
              <w:spacing w:after="20" w:line="240" w:lineRule="auto"/>
            </w:pPr>
            <w:r/>
          </w:p>
        </w:tc>
        <w:tc>
          <w:tcPr>
            <w:tcW w:type="dxa" w:w="1584"/>
          </w:tcPr>
          <w:p>
            <w:pPr>
              <w:spacing w:after="20" w:line="240" w:lineRule="auto"/>
            </w:pPr>
            <w:r/>
          </w:p>
        </w:tc>
        <w:tc>
          <w:tcPr>
            <w:tcW w:type="dxa" w:w="1440"/>
          </w:tcPr>
          <w:p>
            <w:pPr>
              <w:spacing w:after="20" w:line="240" w:lineRule="auto"/>
            </w:pPr>
            <w:r/>
          </w:p>
        </w:tc>
      </w:tr>
      <w:tr>
        <w:trPr>
          <w:cantSplit w:val="true"/>
          <w:trHeight w:val="461" w:hRule="atLeast"/>
        </w:trPr>
        <w:tc>
          <w:tcPr>
            <w:tcW w:type="dxa" w:w="1152"/>
          </w:tcPr>
          <w:p>
            <w:pPr>
              <w:spacing w:after="20" w:line="240" w:lineRule="auto"/>
            </w:pPr>
            <w:r/>
          </w:p>
        </w:tc>
        <w:tc>
          <w:tcPr>
            <w:tcW w:type="dxa" w:w="2592"/>
          </w:tcPr>
          <w:p>
            <w:pPr>
              <w:spacing w:after="20" w:line="240" w:lineRule="auto"/>
            </w:pPr>
            <w:r/>
          </w:p>
        </w:tc>
        <w:tc>
          <w:tcPr>
            <w:tcW w:type="dxa" w:w="2592"/>
          </w:tcPr>
          <w:p>
            <w:pPr>
              <w:spacing w:after="20" w:line="240" w:lineRule="auto"/>
            </w:pPr>
            <w:r/>
          </w:p>
        </w:tc>
        <w:tc>
          <w:tcPr>
            <w:tcW w:type="dxa" w:w="1584"/>
          </w:tcPr>
          <w:p>
            <w:pPr>
              <w:spacing w:after="20" w:line="240" w:lineRule="auto"/>
            </w:pPr>
            <w:r/>
          </w:p>
        </w:tc>
        <w:tc>
          <w:tcPr>
            <w:tcW w:type="dxa" w:w="1440"/>
          </w:tcPr>
          <w:p>
            <w:pPr>
              <w:spacing w:after="20" w:line="240" w:lineRule="auto"/>
            </w:pPr>
            <w:r/>
          </w:p>
        </w:tc>
      </w:tr>
    </w:tbl>
    <w:p>
      <w:pPr>
        <w:spacing w:after="0" w:before="0" w:line="80" w:lineRule="exact"/>
      </w:pPr>
      <w:r>
        <w:rPr>
          <w:sz w:val="8"/>
        </w:rPr>
      </w:r>
    </w:p>
    <w:p>
      <w:r>
        <w:rPr>
          <w:b w:val="0"/>
          <w:i/>
          <w:color w:val="595959"/>
          <w:sz w:val="18"/>
        </w:rPr>
        <w:t>If a stratum is added after seeing the data, the protocol says so and the result is reported as exploratory.</w:t>
      </w:r>
    </w:p>
    <w:p>
      <w:pPr>
        <w:pStyle w:val="Heading1"/>
        <w:pageBreakBefore/>
      </w:pPr>
      <w:r>
        <w:t>Example (fictional case)</w:t>
      </w:r>
    </w:p>
    <w:p>
      <w:r>
        <w:rPr>
          <w:b w:val="0"/>
          <w:i/>
          <w:color w:val="595959"/>
          <w:sz w:val="18"/>
        </w:rPr>
        <w:t>All names, numbers and events below are fictional composites from the book's case dossiers. They show the expected level of detail, not a regulatory standard. Tessora hip, registry outlier at the Year 6 annual report.</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2592"/>
        <w:gridCol w:w="6768"/>
      </w:tblGrid>
      <w:tr>
        <w:trPr>
          <w:tblHeader w:val="true"/>
          <w:cantSplit w:val="true"/>
        </w:trPr>
        <w:tc>
          <w:tcPr>
            <w:tcW w:type="dxa" w:w="2592"/>
            <w:shd w:val="clear" w:color="auto" w:fill="17375E"/>
            <w:vAlign w:val="center"/>
          </w:tcPr>
          <w:p>
            <w:pPr>
              <w:spacing w:after="20" w:line="240" w:lineRule="auto"/>
            </w:pPr>
            <w:r>
              <w:rPr>
                <w:b/>
              </w:rPr>
            </w:r>
            <w:r>
              <w:rPr>
                <w:b/>
                <w:color w:val="FFFFFF"/>
                <w:sz w:val="18"/>
              </w:rPr>
              <w:t>Protocol section</w:t>
            </w:r>
          </w:p>
        </w:tc>
        <w:tc>
          <w:tcPr>
            <w:tcW w:type="dxa" w:w="6768"/>
            <w:shd w:val="clear" w:color="auto" w:fill="17375E"/>
            <w:vAlign w:val="center"/>
          </w:tcPr>
          <w:p>
            <w:pPr>
              <w:spacing w:after="20" w:line="240" w:lineRule="auto"/>
            </w:pPr>
            <w:r>
              <w:rPr>
                <w:b/>
              </w:rPr>
            </w:r>
            <w:r>
              <w:rPr>
                <w:b/>
                <w:color w:val="FFFFFF"/>
                <w:sz w:val="18"/>
              </w:rPr>
              <w:t>Entry (Tessora, partly filled)</w:t>
            </w:r>
          </w:p>
        </w:tc>
      </w:tr>
      <w:tr>
        <w:trPr>
          <w:cantSplit w:val="true"/>
        </w:trPr>
        <w:tc>
          <w:tcPr>
            <w:tcW w:type="dxa" w:w="2592"/>
            <w:shd w:val="clear" w:color="auto" w:fill="DCE6F1"/>
          </w:tcPr>
          <w:p>
            <w:pPr>
              <w:spacing w:after="20" w:line="240" w:lineRule="auto"/>
            </w:pPr>
            <w:r>
              <w:rPr>
                <w:b/>
              </w:rPr>
            </w:r>
            <w:r>
              <w:rPr>
                <w:b/>
                <w:sz w:val="18"/>
              </w:rPr>
              <w:t>Signal and data cut</w:t>
            </w:r>
          </w:p>
        </w:tc>
        <w:tc>
          <w:tcPr>
            <w:tcW w:type="dxa" w:w="6768"/>
          </w:tcPr>
          <w:p>
            <w:pPr>
              <w:spacing w:after="20" w:line="240" w:lineRule="auto"/>
            </w:pPr>
            <w:r/>
            <w:r>
              <w:rPr>
                <w:b w:val="0"/>
                <w:sz w:val="18"/>
              </w:rPr>
              <w:t>Registry outlier, Year 6 annual report; complaints to Year 6, month 6</w:t>
            </w:r>
          </w:p>
        </w:tc>
      </w:tr>
      <w:tr>
        <w:trPr>
          <w:cantSplit w:val="true"/>
        </w:trPr>
        <w:tc>
          <w:tcPr>
            <w:tcW w:type="dxa" w:w="2592"/>
            <w:shd w:val="clear" w:color="auto" w:fill="DCE6F1"/>
          </w:tcPr>
          <w:p>
            <w:pPr>
              <w:spacing w:after="20" w:line="240" w:lineRule="auto"/>
            </w:pPr>
            <w:r>
              <w:rPr>
                <w:b/>
              </w:rPr>
            </w:r>
            <w:r>
              <w:rPr>
                <w:b/>
                <w:sz w:val="18"/>
              </w:rPr>
              <w:t>Risk file position</w:t>
            </w:r>
          </w:p>
        </w:tc>
        <w:tc>
          <w:tcPr>
            <w:tcW w:type="dxa" w:w="6768"/>
          </w:tcPr>
          <w:p>
            <w:pPr>
              <w:spacing w:after="20" w:line="240" w:lineRule="auto"/>
            </w:pPr>
            <w:r/>
            <w:r>
              <w:rPr>
                <w:b w:val="0"/>
                <w:sz w:val="18"/>
              </w:rPr>
              <w:t>Liner dissociation listed as a known hazard; probability estimate to be reviewed</w:t>
            </w:r>
          </w:p>
        </w:tc>
      </w:tr>
      <w:tr>
        <w:trPr>
          <w:cantSplit w:val="true"/>
        </w:trPr>
        <w:tc>
          <w:tcPr>
            <w:tcW w:type="dxa" w:w="2592"/>
            <w:shd w:val="clear" w:color="auto" w:fill="DCE6F1"/>
          </w:tcPr>
          <w:p>
            <w:pPr>
              <w:spacing w:after="20" w:line="240" w:lineRule="auto"/>
            </w:pPr>
            <w:r>
              <w:rPr>
                <w:b/>
              </w:rPr>
            </w:r>
            <w:r>
              <w:rPr>
                <w:b/>
                <w:sz w:val="18"/>
              </w:rPr>
              <w:t>Primary question</w:t>
            </w:r>
          </w:p>
        </w:tc>
        <w:tc>
          <w:tcPr>
            <w:tcW w:type="dxa" w:w="6768"/>
          </w:tcPr>
          <w:p>
            <w:pPr>
              <w:spacing w:after="20" w:line="240" w:lineRule="auto"/>
            </w:pPr>
            <w:r/>
            <w:r>
              <w:rPr>
                <w:b w:val="0"/>
                <w:sz w:val="18"/>
              </w:rPr>
              <w:t>Five-year all-cause revision vs comparable cementless constructs, case-mix adjusted</w:t>
            </w:r>
          </w:p>
        </w:tc>
      </w:tr>
      <w:tr>
        <w:trPr>
          <w:cantSplit w:val="true"/>
        </w:trPr>
        <w:tc>
          <w:tcPr>
            <w:tcW w:type="dxa" w:w="2592"/>
            <w:shd w:val="clear" w:color="auto" w:fill="DCE6F1"/>
          </w:tcPr>
          <w:p>
            <w:pPr>
              <w:spacing w:after="20" w:line="240" w:lineRule="auto"/>
            </w:pPr>
            <w:r>
              <w:rPr>
                <w:b/>
              </w:rPr>
            </w:r>
            <w:r>
              <w:rPr>
                <w:b/>
                <w:sz w:val="18"/>
              </w:rPr>
              <w:t>Secondary questions</w:t>
            </w:r>
          </w:p>
        </w:tc>
        <w:tc>
          <w:tcPr>
            <w:tcW w:type="dxa" w:w="6768"/>
          </w:tcPr>
          <w:p>
            <w:pPr>
              <w:spacing w:after="20" w:line="240" w:lineRule="auto"/>
            </w:pPr>
            <w:r/>
            <w:r>
              <w:rPr>
                <w:b w:val="0"/>
                <w:sz w:val="18"/>
              </w:rPr>
              <w:t>Liner size (pre-specified); manufacturing period split at Year 3, month 4 (pre-specified)</w:t>
            </w:r>
          </w:p>
        </w:tc>
      </w:tr>
      <w:tr>
        <w:trPr>
          <w:cantSplit w:val="true"/>
        </w:trPr>
        <w:tc>
          <w:tcPr>
            <w:tcW w:type="dxa" w:w="2592"/>
            <w:shd w:val="clear" w:color="auto" w:fill="DCE6F1"/>
          </w:tcPr>
          <w:p>
            <w:pPr>
              <w:spacing w:after="20" w:line="240" w:lineRule="auto"/>
            </w:pPr>
            <w:r>
              <w:rPr>
                <w:b/>
              </w:rPr>
            </w:r>
            <w:r>
              <w:rPr>
                <w:b/>
                <w:sz w:val="18"/>
              </w:rPr>
              <w:t>Data sources</w:t>
            </w:r>
          </w:p>
        </w:tc>
        <w:tc>
          <w:tcPr>
            <w:tcW w:type="dxa" w:w="6768"/>
          </w:tcPr>
          <w:p>
            <w:pPr>
              <w:spacing w:after="20" w:line="240" w:lineRule="auto"/>
            </w:pPr>
            <w:r/>
            <w:r>
              <w:rPr>
                <w:b w:val="0"/>
                <w:sz w:val="18"/>
              </w:rPr>
              <w:t>Registry extract (outcome, denominator); complaints (narrative only); manufacturing records (period, size)</w:t>
            </w:r>
          </w:p>
        </w:tc>
      </w:tr>
      <w:tr>
        <w:trPr>
          <w:cantSplit w:val="true"/>
        </w:trPr>
        <w:tc>
          <w:tcPr>
            <w:tcW w:type="dxa" w:w="2592"/>
            <w:shd w:val="clear" w:color="auto" w:fill="DCE6F1"/>
          </w:tcPr>
          <w:p>
            <w:pPr>
              <w:spacing w:after="20" w:line="240" w:lineRule="auto"/>
            </w:pPr>
            <w:r>
              <w:rPr>
                <w:b/>
              </w:rPr>
            </w:r>
            <w:r>
              <w:rPr>
                <w:b/>
                <w:sz w:val="18"/>
              </w:rPr>
              <w:t>Analysis</w:t>
            </w:r>
          </w:p>
        </w:tc>
        <w:tc>
          <w:tcPr>
            <w:tcW w:type="dxa" w:w="6768"/>
          </w:tcPr>
          <w:p>
            <w:pPr>
              <w:spacing w:after="20" w:line="240" w:lineRule="auto"/>
            </w:pPr>
            <w:r/>
            <w:r>
              <w:rPr>
                <w:b w:val="0"/>
                <w:sz w:val="18"/>
              </w:rPr>
              <w:t>O/E with exact Poisson interval; funnel limits at 95% and 99.8%; Kaplan–Meier five-year revision</w:t>
            </w:r>
          </w:p>
        </w:tc>
      </w:tr>
      <w:tr>
        <w:trPr>
          <w:cantSplit w:val="true"/>
        </w:trPr>
        <w:tc>
          <w:tcPr>
            <w:tcW w:type="dxa" w:w="2592"/>
            <w:shd w:val="clear" w:color="auto" w:fill="DCE6F1"/>
          </w:tcPr>
          <w:p>
            <w:pPr>
              <w:spacing w:after="20" w:line="240" w:lineRule="auto"/>
            </w:pPr>
            <w:r>
              <w:rPr>
                <w:b/>
              </w:rPr>
            </w:r>
            <w:r>
              <w:rPr>
                <w:b/>
                <w:sz w:val="18"/>
              </w:rPr>
              <w:t>Decision link</w:t>
            </w:r>
          </w:p>
        </w:tc>
        <w:tc>
          <w:tcPr>
            <w:tcW w:type="dxa" w:w="6768"/>
          </w:tcPr>
          <w:p>
            <w:pPr>
              <w:spacing w:after="20" w:line="240" w:lineRule="auto"/>
            </w:pPr>
            <w:r/>
            <w:r>
              <w:rPr>
                <w:b w:val="0"/>
                <w:sz w:val="18"/>
              </w:rPr>
              <w:t>No excess / diffuse / concentrated / indeterminate, with pre-set actions</w:t>
            </w:r>
          </w:p>
        </w:tc>
      </w:tr>
      <w:tr>
        <w:trPr>
          <w:cantSplit w:val="true"/>
        </w:trPr>
        <w:tc>
          <w:tcPr>
            <w:tcW w:type="dxa" w:w="2592"/>
            <w:shd w:val="clear" w:color="auto" w:fill="DCE6F1"/>
          </w:tcPr>
          <w:p>
            <w:pPr>
              <w:spacing w:after="20" w:line="240" w:lineRule="auto"/>
            </w:pPr>
            <w:r>
              <w:rPr>
                <w:b/>
              </w:rPr>
            </w:r>
            <w:r>
              <w:rPr>
                <w:b/>
                <w:sz w:val="18"/>
              </w:rPr>
              <w:t>Out of scope</w:t>
            </w:r>
          </w:p>
        </w:tc>
        <w:tc>
          <w:tcPr>
            <w:tcW w:type="dxa" w:w="6768"/>
          </w:tcPr>
          <w:p>
            <w:pPr>
              <w:spacing w:after="20" w:line="240" w:lineRule="auto"/>
            </w:pPr>
            <w:r/>
            <w:r>
              <w:rPr>
                <w:b w:val="0"/>
                <w:sz w:val="18"/>
              </w:rPr>
              <w:t>Individual serious-incident reportability (handled under Article 87 procedure)</w:t>
            </w:r>
          </w:p>
        </w:tc>
      </w:tr>
      <w:tr>
        <w:trPr>
          <w:cantSplit w:val="true"/>
        </w:trPr>
        <w:tc>
          <w:tcPr>
            <w:tcW w:type="dxa" w:w="2592"/>
            <w:shd w:val="clear" w:color="auto" w:fill="DCE6F1"/>
          </w:tcPr>
          <w:p>
            <w:pPr>
              <w:spacing w:after="20" w:line="240" w:lineRule="auto"/>
            </w:pPr>
            <w:r>
              <w:rPr>
                <w:b/>
              </w:rPr>
            </w:r>
            <w:r>
              <w:rPr>
                <w:b/>
                <w:sz w:val="18"/>
              </w:rPr>
              <w:t>Sign-off</w:t>
            </w:r>
          </w:p>
        </w:tc>
        <w:tc>
          <w:tcPr>
            <w:tcW w:type="dxa" w:w="6768"/>
          </w:tcPr>
          <w:p>
            <w:pPr>
              <w:spacing w:after="20" w:line="240" w:lineRule="auto"/>
            </w:pPr>
            <w:r/>
            <w:r>
              <w:rPr>
                <w:b w:val="0"/>
                <w:sz w:val="18"/>
              </w:rPr>
              <w:t>Signal owner, clinical lead, statistician; date before data request</w:t>
            </w:r>
          </w:p>
        </w:tc>
      </w:tr>
    </w:tbl>
    <w:p>
      <w:pPr>
        <w:spacing w:after="160"/>
      </w:pPr>
      <w:r>
        <w:rPr>
          <w:i/>
          <w:color w:val="595959"/>
          <w:sz w:val="17"/>
        </w:rPr>
        <w:t>Table 14.2 — Tool T-12 signal assessment protocol, partly filled for Tessora (illustrative, company tool).</w:t>
      </w:r>
    </w:p>
    <w:tbl>
      <w:tblPr>
        <w:tblW w:type="dxa" w:w="9360"/>
        <w:jc w:val="center"/>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80" w:type="dxa"/>
          <w:bottom w:w="40" w:type="dxa"/>
          <w:right w:w="80" w:type="dxa"/>
        </w:tblCellMar>
        <w:tblLayout w:type="fixed"/>
      </w:tblPr>
      <w:tblGrid>
        <w:gridCol w:w="2016"/>
        <w:gridCol w:w="4032"/>
        <w:gridCol w:w="3312"/>
      </w:tblGrid>
      <w:tr>
        <w:trPr>
          <w:tblHeader w:val="true"/>
          <w:cantSplit w:val="true"/>
        </w:trPr>
        <w:tc>
          <w:tcPr>
            <w:tcW w:type="dxa" w:w="2016"/>
            <w:shd w:val="clear" w:color="auto" w:fill="17375E"/>
            <w:vAlign w:val="center"/>
          </w:tcPr>
          <w:p>
            <w:pPr>
              <w:spacing w:after="20" w:line="240" w:lineRule="auto"/>
            </w:pPr>
            <w:r>
              <w:rPr>
                <w:b/>
              </w:rPr>
            </w:r>
            <w:r>
              <w:rPr>
                <w:b/>
                <w:color w:val="FFFFFF"/>
                <w:sz w:val="18"/>
              </w:rPr>
              <w:t>Element</w:t>
            </w:r>
          </w:p>
        </w:tc>
        <w:tc>
          <w:tcPr>
            <w:tcW w:type="dxa" w:w="4032"/>
            <w:shd w:val="clear" w:color="auto" w:fill="17375E"/>
            <w:vAlign w:val="center"/>
          </w:tcPr>
          <w:p>
            <w:pPr>
              <w:spacing w:after="20" w:line="240" w:lineRule="auto"/>
            </w:pPr>
            <w:r>
              <w:rPr>
                <w:b/>
              </w:rPr>
            </w:r>
            <w:r>
              <w:rPr>
                <w:b/>
                <w:color w:val="FFFFFF"/>
                <w:sz w:val="18"/>
              </w:rPr>
              <w:t>Tessora entry</w:t>
            </w:r>
          </w:p>
        </w:tc>
        <w:tc>
          <w:tcPr>
            <w:tcW w:type="dxa" w:w="3312"/>
            <w:shd w:val="clear" w:color="auto" w:fill="17375E"/>
            <w:vAlign w:val="center"/>
          </w:tcPr>
          <w:p>
            <w:pPr>
              <w:spacing w:after="20" w:line="240" w:lineRule="auto"/>
            </w:pPr>
            <w:r>
              <w:rPr>
                <w:b/>
              </w:rPr>
            </w:r>
            <w:r>
              <w:rPr>
                <w:b/>
                <w:color w:val="FFFFFF"/>
                <w:sz w:val="18"/>
              </w:rPr>
              <w:t>What the Year 6 cut showed</w:t>
            </w:r>
          </w:p>
        </w:tc>
      </w:tr>
      <w:tr>
        <w:trPr>
          <w:cantSplit w:val="true"/>
        </w:trPr>
        <w:tc>
          <w:tcPr>
            <w:tcW w:type="dxa" w:w="2016"/>
            <w:shd w:val="clear" w:color="auto" w:fill="DCE6F1"/>
          </w:tcPr>
          <w:p>
            <w:pPr>
              <w:spacing w:after="20" w:line="240" w:lineRule="auto"/>
            </w:pPr>
            <w:r>
              <w:rPr>
                <w:b/>
              </w:rPr>
            </w:r>
            <w:r>
              <w:rPr>
                <w:b/>
                <w:sz w:val="18"/>
              </w:rPr>
              <w:t>Device scope</w:t>
            </w:r>
          </w:p>
        </w:tc>
        <w:tc>
          <w:tcPr>
            <w:tcW w:type="dxa" w:w="4032"/>
          </w:tcPr>
          <w:p>
            <w:pPr>
              <w:spacing w:after="20" w:line="240" w:lineRule="auto"/>
            </w:pPr>
            <w:r/>
            <w:r>
              <w:rPr>
                <w:b w:val="0"/>
                <w:sz w:val="18"/>
              </w:rPr>
              <w:t>Cementless construct, liners 44–60 mm, split at Year 3, month 4</w:t>
            </w:r>
          </w:p>
        </w:tc>
        <w:tc>
          <w:tcPr>
            <w:tcW w:type="dxa" w:w="3312"/>
          </w:tcPr>
          <w:p>
            <w:pPr>
              <w:spacing w:after="20" w:line="240" w:lineRule="auto"/>
            </w:pPr>
            <w:r/>
            <w:r>
              <w:rPr>
                <w:b w:val="0"/>
                <w:sz w:val="18"/>
              </w:rPr>
              <w:t>6,000 primaries in the registry</w:t>
            </w:r>
          </w:p>
        </w:tc>
      </w:tr>
      <w:tr>
        <w:trPr>
          <w:cantSplit w:val="true"/>
        </w:trPr>
        <w:tc>
          <w:tcPr>
            <w:tcW w:type="dxa" w:w="2016"/>
            <w:shd w:val="clear" w:color="auto" w:fill="DCE6F1"/>
          </w:tcPr>
          <w:p>
            <w:pPr>
              <w:spacing w:after="20" w:line="240" w:lineRule="auto"/>
            </w:pPr>
            <w:r>
              <w:rPr>
                <w:b/>
              </w:rPr>
            </w:r>
            <w:r>
              <w:rPr>
                <w:b/>
                <w:sz w:val="18"/>
              </w:rPr>
              <w:t>Population and setting</w:t>
            </w:r>
          </w:p>
        </w:tc>
        <w:tc>
          <w:tcPr>
            <w:tcW w:type="dxa" w:w="4032"/>
          </w:tcPr>
          <w:p>
            <w:pPr>
              <w:spacing w:after="20" w:line="240" w:lineRule="auto"/>
            </w:pPr>
            <w:r/>
            <w:r>
              <w:rPr>
                <w:b w:val="0"/>
                <w:sz w:val="18"/>
              </w:rPr>
              <w:t>Primary total hip arthroplasty, national registry sites</w:t>
            </w:r>
          </w:p>
        </w:tc>
        <w:tc>
          <w:tcPr>
            <w:tcW w:type="dxa" w:w="3312"/>
          </w:tcPr>
          <w:p>
            <w:pPr>
              <w:spacing w:after="20" w:line="240" w:lineRule="auto"/>
            </w:pPr>
            <w:r/>
            <w:r>
              <w:rPr>
                <w:b w:val="0"/>
                <w:sz w:val="18"/>
              </w:rPr>
              <w:t>Case-mix adjusted</w:t>
            </w:r>
          </w:p>
        </w:tc>
      </w:tr>
      <w:tr>
        <w:trPr>
          <w:cantSplit w:val="true"/>
        </w:trPr>
        <w:tc>
          <w:tcPr>
            <w:tcW w:type="dxa" w:w="2016"/>
            <w:shd w:val="clear" w:color="auto" w:fill="DCE6F1"/>
          </w:tcPr>
          <w:p>
            <w:pPr>
              <w:spacing w:after="20" w:line="240" w:lineRule="auto"/>
            </w:pPr>
            <w:r>
              <w:rPr>
                <w:b/>
              </w:rPr>
            </w:r>
            <w:r>
              <w:rPr>
                <w:b/>
                <w:sz w:val="18"/>
              </w:rPr>
              <w:t>Comparator</w:t>
            </w:r>
          </w:p>
        </w:tc>
        <w:tc>
          <w:tcPr>
            <w:tcW w:type="dxa" w:w="4032"/>
          </w:tcPr>
          <w:p>
            <w:pPr>
              <w:spacing w:after="20" w:line="240" w:lineRule="auto"/>
            </w:pPr>
            <w:r/>
            <w:r>
              <w:rPr>
                <w:b w:val="0"/>
                <w:sz w:val="18"/>
              </w:rPr>
              <w:t>Comparable cementless constructs</w:t>
            </w:r>
          </w:p>
        </w:tc>
        <w:tc>
          <w:tcPr>
            <w:tcW w:type="dxa" w:w="3312"/>
          </w:tcPr>
          <w:p>
            <w:pPr>
              <w:spacing w:after="20" w:line="240" w:lineRule="auto"/>
            </w:pPr>
            <w:r/>
            <w:r>
              <w:rPr>
                <w:b w:val="0"/>
                <w:sz w:val="18"/>
              </w:rPr>
              <w:t>Five-year revision 2.4% (95% CI 2.2–2.6)</w:t>
            </w:r>
          </w:p>
        </w:tc>
      </w:tr>
      <w:tr>
        <w:trPr>
          <w:cantSplit w:val="true"/>
        </w:trPr>
        <w:tc>
          <w:tcPr>
            <w:tcW w:type="dxa" w:w="2016"/>
            <w:shd w:val="clear" w:color="auto" w:fill="DCE6F1"/>
          </w:tcPr>
          <w:p>
            <w:pPr>
              <w:spacing w:after="20" w:line="240" w:lineRule="auto"/>
            </w:pPr>
            <w:r>
              <w:rPr>
                <w:b/>
              </w:rPr>
            </w:r>
            <w:r>
              <w:rPr>
                <w:b/>
                <w:sz w:val="18"/>
              </w:rPr>
              <w:t>Outcome and time</w:t>
            </w:r>
          </w:p>
        </w:tc>
        <w:tc>
          <w:tcPr>
            <w:tcW w:type="dxa" w:w="4032"/>
          </w:tcPr>
          <w:p>
            <w:pPr>
              <w:spacing w:after="20" w:line="240" w:lineRule="auto"/>
            </w:pPr>
            <w:r/>
            <w:r>
              <w:rPr>
                <w:b w:val="0"/>
                <w:sz w:val="18"/>
              </w:rPr>
              <w:t>All-cause revision at five years; liner dissociation</w:t>
            </w:r>
          </w:p>
        </w:tc>
        <w:tc>
          <w:tcPr>
            <w:tcW w:type="dxa" w:w="3312"/>
          </w:tcPr>
          <w:p>
            <w:pPr>
              <w:spacing w:after="20" w:line="240" w:lineRule="auto"/>
            </w:pPr>
            <w:r/>
            <w:r>
              <w:rPr>
                <w:b w:val="0"/>
                <w:sz w:val="18"/>
              </w:rPr>
              <w:t>Tessora 4.1% (95% CI 3.3–5.1); O/E 1.85</w:t>
            </w:r>
          </w:p>
        </w:tc>
      </w:tr>
      <w:tr>
        <w:trPr>
          <w:cantSplit w:val="true"/>
        </w:trPr>
        <w:tc>
          <w:tcPr>
            <w:tcW w:type="dxa" w:w="2016"/>
            <w:shd w:val="clear" w:color="auto" w:fill="DCE6F1"/>
          </w:tcPr>
          <w:p>
            <w:pPr>
              <w:spacing w:after="20" w:line="240" w:lineRule="auto"/>
            </w:pPr>
            <w:r>
              <w:rPr>
                <w:b/>
              </w:rPr>
            </w:r>
            <w:r>
              <w:rPr>
                <w:b/>
                <w:sz w:val="18"/>
              </w:rPr>
              <w:t>Decision link</w:t>
            </w:r>
          </w:p>
        </w:tc>
        <w:tc>
          <w:tcPr>
            <w:tcW w:type="dxa" w:w="4032"/>
          </w:tcPr>
          <w:p>
            <w:pPr>
              <w:spacing w:after="20" w:line="240" w:lineRule="auto"/>
            </w:pPr>
            <w:r/>
            <w:r>
              <w:rPr>
                <w:b w:val="0"/>
                <w:sz w:val="18"/>
              </w:rPr>
              <w:t>Pre-set actions for each finding</w:t>
            </w:r>
          </w:p>
        </w:tc>
        <w:tc>
          <w:tcPr>
            <w:tcW w:type="dxa" w:w="3312"/>
          </w:tcPr>
          <w:p>
            <w:pPr>
              <w:spacing w:after="20" w:line="240" w:lineRule="auto"/>
            </w:pPr>
            <w:r/>
            <w:r>
              <w:rPr>
                <w:b w:val="0"/>
                <w:sz w:val="18"/>
              </w:rPr>
              <w:t>Concentrated excess: FSCA and CAPA</w:t>
            </w:r>
          </w:p>
        </w:tc>
      </w:tr>
    </w:tbl>
    <w:p>
      <w:pPr>
        <w:spacing w:after="160"/>
      </w:pPr>
      <w:r>
        <w:rPr>
          <w:i/>
          <w:color w:val="595959"/>
          <w:sz w:val="17"/>
        </w:rPr>
        <w:t>Table 14.1 — The Tessora assessment question in the device PICOTS frame (illustrative).</w:t>
      </w:r>
    </w:p>
    <w:sectPr w:rsidR="00FC693F" w:rsidRPr="0006063C" w:rsidSect="00034616">
      <w:headerReference w:type="default" r:id="rId9"/>
      <w:footerReference w:type="default" r:id="rId10"/>
      <w:pgSz w:w="12240" w:h="15840"/>
      <w:pgMar w:top="1440" w:right="1440" w:bottom="1440" w:left="1440"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1" w:color="A6A6A6"/>
      </w:pBdr>
    </w:pPr>
    <w:r/>
    <w:r>
      <w:rPr>
        <w:i/>
        <w:color w:val="595959"/>
        <w:sz w:val="16"/>
      </w:rPr>
      <w:t>Educational template — adapt to your quality system. Not a regulatory requirement.</w:t>
    </w:r>
  </w:p>
  <w:p>
    <w:r>
      <w:rPr>
        <w:color w:val="595959"/>
        <w:sz w:val="16"/>
      </w:rPr>
      <w:t xml:space="preserve">© 2026 Selim Medical Press · Tool T-12 · Page </w:t>
    </w:r>
    <w:r>
      <w:rPr>
        <w:color w:val="595959"/>
        <w:sz w:val="16"/>
      </w:rPr>
    </w:r>
    <w:r>
      <w:rPr>
        <w:color w:val="595959"/>
        <w:sz w:val="16"/>
      </w:rPr>
      <w:fldChar w:fldCharType="begin"/>
    </w:r>
    <w:r>
      <w:rPr>
        <w:color w:val="595959"/>
        <w:sz w:val="16"/>
      </w:rPr>
      <w:instrText xml:space="preserve"> PAGE </w:instrText>
    </w:r>
    <w:r>
      <w:rPr>
        <w:color w:val="595959"/>
        <w:sz w:val="16"/>
      </w:rPr>
      <w:fldChar w:fldCharType="separate"/>
    </w:r>
    <w:r>
      <w:rPr>
        <w:color w:val="595959"/>
        <w:sz w:val="16"/>
      </w:rPr>
      <w:t>1</w:t>
    </w:r>
    <w:r>
      <w:rPr>
        <w:color w:val="595959"/>
        <w:sz w:val="16"/>
      </w:rPr>
      <w:fldChar w:fldCharType="end"/>
    </w:r>
    <w:r>
      <w:rPr>
        <w:color w:val="595959"/>
        <w:sz w:val="16"/>
      </w:rPr>
      <w:t xml:space="preserve"> of </w:t>
    </w:r>
    <w:r>
      <w:rPr>
        <w:color w:val="595959"/>
        <w:sz w:val="16"/>
      </w:rPr>
    </w:r>
    <w:r>
      <w:rPr>
        <w:color w:val="595959"/>
        <w:sz w:val="16"/>
      </w:rPr>
      <w:fldChar w:fldCharType="begin"/>
    </w:r>
    <w:r>
      <w:rPr>
        <w:color w:val="595959"/>
        <w:sz w:val="16"/>
      </w:rPr>
      <w:instrText xml:space="preserve"> NUMPAGES </w:instrText>
    </w:r>
    <w:r>
      <w:rPr>
        <w:color w:val="595959"/>
        <w:sz w:val="16"/>
      </w:rPr>
      <w:fldChar w:fldCharType="separate"/>
    </w:r>
    <w:r>
      <w:rPr>
        <w:color w:val="595959"/>
        <w:sz w:val="16"/>
      </w:rPr>
      <w:t>1</w:t>
    </w:r>
    <w:r>
      <w:rPr>
        <w:color w:val="595959"/>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A6A6A6"/>
      </w:pBdr>
    </w:pPr>
    <w:r/>
    <w:r>
      <w:rPr>
        <w:rFonts w:ascii="Calibri" w:hAnsi="Calibri"/>
        <w:color w:val="595959"/>
        <w:sz w:val="17"/>
      </w:rPr>
      <w:t>Selim Medical Press · Signal Management in Medical Device Vigilance · Tool T-12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Calibri" w:hAnsi="Calibri" w:cs="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Cambria" w:hAnsi="Cambria" w:cs="Cambria" w:eastAsia="Cambria"/>
      <w:b/>
      <w:bCs/>
      <w:color w:val="17375E"/>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Cambria" w:hAnsi="Cambria" w:cs="Cambria" w:eastAsia="Cambria"/>
      <w:b/>
      <w:bCs/>
      <w:color w:val="17375E"/>
      <w:sz w:val="24"/>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Cambria" w:hAnsi="Cambria" w:cs="Cambria" w:eastAsia="Cambria"/>
      <w:b/>
      <w:bCs/>
      <w:color w:val="17375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40" w:line="240" w:lineRule="auto"/>
      <w:contextualSpacing/>
    </w:pPr>
    <w:rPr>
      <w:rFonts w:ascii="Cambria" w:hAnsi="Cambria" w:cs="Cambria" w:eastAsia="Cambria"/>
      <w:b/>
      <w:color w:val="17375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s="Calibri" w:eastAsia="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s="Calibri" w:eastAsia="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Tool T-12 — Signal Assessment Protocol</dc:title>
  <dc:subject>Signal Management in Medical Device Vigilance — companion toolkit</dc:subject>
  <dc:creator>Dr. Hafez Selim, MD, PhD</dc:creator>
  <cp:keywords>device vigilance; signal management; toolkit</cp:keywords>
  <dc:description>Selim Medical Press © 2026. Educational template.</dc:description>
  <cp:lastModifiedBy/>
  <cp:revision>1</cp:revision>
  <dcterms:created xsi:type="dcterms:W3CDTF">2013-12-23T23:15:00Z</dcterms:created>
  <dcterms:modified xsi:type="dcterms:W3CDTF">2013-12-23T23:15:00Z</dcterms:modified>
  <cp:category/>
</cp:coreProperties>
</file>