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T-13</w:t>
      </w:r>
    </w:p>
    <w:p>
      <w:pPr>
        <w:pStyle w:val="Title"/>
      </w:pPr>
      <w:r>
        <w:t>Event Adjudication Guide and Line-Listing Template</w:t>
      </w:r>
    </w:p>
    <w:p>
      <w:r>
        <w:rPr>
          <w:i/>
          <w:color w:val="595959"/>
          <w:sz w:val="21"/>
        </w:rPr>
        <w:t>Adjudication rules, line-listing columns with a data dictionary, and a second-reviewer QC checklist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Turns a retrieval into a set of unique, assessed events. The guide defines each adjudication category for the device problem and the health effect; the line listing records one row per unique event; the QC checklist reconciles the counts before the listing goes to the review board.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For every case series built for a signal assessment, including the returned-device flow. Two reviewers adjudicate independently; disagreements are resolved by discussion and recorded.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15, Case Series and Returned-Device Investigation — section 15.5 (Tables 15.1–15.3).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1 — Adjudication guide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83"/>
        <w:gridCol w:w="1583"/>
        <w:gridCol w:w="3023"/>
        <w:gridCol w:w="3167"/>
      </w:tblGrid>
      <w:tr>
        <w:trPr>
          <w:tblHeader w:val="true"/>
          <w:cantSplit w:val="true"/>
        </w:trPr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Axis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0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Evidence required</w:t>
            </w:r>
          </w:p>
        </w:tc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Device problem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Reproduced or observed on the bench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Returned device fails the same way under the documented bench method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Device problem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Probable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Clear description, photographs or user-retained evidence; no bench test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Photograph of the failed component retained by the user facility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Device problem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Not confirmed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Device tested; no fault found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Returned device passes the bench method; method named in the record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Device problem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Unassessable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 device and too little information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Report gives no description beyond "did not work"; device discarded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Health effect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Confirmed from clinical information (IMDRF Annex E and F terms)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Operative note or discharge summary documents the outcome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Health effect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Reported but unverified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Reporter's statement only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Complaint states a reoperation; no clinical record yet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Health effect</w:t>
            </w:r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 health effect described or found</w:t>
            </w:r>
          </w:p>
        </w:tc>
        <w:tc>
          <w:tcPr>
            <w:tcW w:type="dxa" w:w="316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User reports a malfunction noticed before patient contact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Questions asked of every event, by the same rules</w:t>
      </w:r>
    </w:p>
    <w:p>
      <w:pPr>
        <w:pStyle w:val="ListBullet"/>
        <w:spacing w:after="40"/>
      </w:pPr>
      <w:r>
        <w:rPr>
          <w:b/>
        </w:rPr>
        <w:t>Device problem</w:t>
      </w:r>
      <w:r>
        <w:rPr>
          <w:b w:val="0"/>
        </w:rPr>
        <w:t xml:space="preserve"> — category above, coded in IMDRF Annex A terms.</w:t>
      </w:r>
    </w:p>
    <w:p>
      <w:pPr>
        <w:pStyle w:val="ListBullet"/>
        <w:spacing w:after="40"/>
      </w:pPr>
      <w:r>
        <w:rPr>
          <w:b/>
        </w:rPr>
        <w:t>Health effect</w:t>
      </w:r>
      <w:r>
        <w:rPr>
          <w:b w:val="0"/>
        </w:rPr>
        <w:t xml:space="preserve"> — coded separately in IMDRF Annex E and Annex F terms; confirmed from clinical information where available.</w:t>
      </w:r>
    </w:p>
    <w:p>
      <w:pPr>
        <w:pStyle w:val="ListBullet"/>
        <w:spacing w:after="40"/>
      </w:pPr>
      <w:r>
        <w:rPr>
          <w:b/>
        </w:rPr>
        <w:t>Timing</w:t>
      </w:r>
      <w:r>
        <w:rPr>
          <w:b w:val="0"/>
        </w:rPr>
        <w:t xml:space="preserve"> — is the harm consistent in time with the device problem?</w:t>
      </w:r>
    </w:p>
    <w:p>
      <w:pPr>
        <w:pStyle w:val="ListBullet"/>
        <w:spacing w:after="40"/>
      </w:pPr>
      <w:r>
        <w:rPr>
          <w:b/>
        </w:rPr>
        <w:t>Alternatives</w:t>
      </w:r>
      <w:r>
        <w:rPr>
          <w:b w:val="0"/>
        </w:rPr>
        <w:t xml:space="preserve"> — patient anatomy, tissue quality, technique, concomitant devices.</w:t>
      </w:r>
    </w:p>
    <w:p>
      <w:pPr>
        <w:pStyle w:val="Heading2"/>
      </w:pPr>
      <w:r>
        <w:t>Retrieval and deduplication record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5903"/>
      </w:tblGrid>
      <w:tr>
        <w:trPr>
          <w:cantSplit w:val="true"/>
          <w:trHeight w:val="648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Search strings, sources and date run (so the retrieval can be rerun)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Deduplication rule (shared device identifier, lot, date, facility, narrative)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648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Links logged with reasons (reference)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Never delete duplicate records; the master record points to them. Record every return request and every refusal — the reason for non-return is itself data.</w:t>
      </w:r>
    </w:p>
    <w:p>
      <w:pPr>
        <w:pStyle w:val="Heading2"/>
      </w:pPr>
      <w:r>
        <w:t>Selection flow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11"/>
        <w:gridCol w:w="1440"/>
        <w:gridCol w:w="4608"/>
      </w:tblGrid>
      <w:tr>
        <w:trPr>
          <w:tblHeader w:val="true"/>
          <w:cantSplit w:val="true"/>
        </w:trPr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46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 records retrieved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Unique events after linking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Devices returned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Confirmed on bench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No fault found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No device returned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60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Data dictionary — line-listing columns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592"/>
        <w:gridCol w:w="3456"/>
        <w:gridCol w:w="3311"/>
      </w:tblGrid>
      <w:tr>
        <w:trPr>
          <w:tblHeader w:val="true"/>
          <w:cantSplit w:val="true"/>
        </w:trPr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Content rule</w:t>
            </w:r>
          </w:p>
        </w:tc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Example entry format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Event ID and linked records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Master ID plus every linked record ID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Master ID; linked IDs listed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Device and lot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Catalog code, lot as labeled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Lot from label; flag if in a suspect lot range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Dates and setting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Event date, awareness date, facility type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Operating room, hospital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Device problem (IMDRF Annex A)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Coded term plus adjudication category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Term; confirmed / probable / not confirmed / unassessable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Health effect (IMDRF Annex E and F)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Coded term, outcome, confirmation source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Term; outcome; source document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Return status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Returned / not returned; reason for non-return if known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Not returned — retained by hospital risk department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Bench method and result (IMDRF Annex B to D)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Investigation type, finding and conclusion; method named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Method ID; finding; conclusion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Alternative explanations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Anatomy, tissue, technique, concomitant devices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Free text, short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Reviewer 1 / Reviewer 2 assessment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Independent categories; agreed value after discussion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R1: probable; R2: confirmed; agreed: confirmed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576" w:gutter="0"/>
          <w:cols w:space="720"/>
          <w:docGrid w:linePitch="360"/>
        </w:sectPr>
      </w:pPr>
    </w:p>
    <w:p>
      <w:pPr>
        <w:pStyle w:val="Heading1"/>
      </w:pPr>
      <w:r>
        <w:t>Part 2 — Line listing (one row per unique event)</w:t>
      </w:r>
    </w:p>
    <w:tbl>
      <w:tblPr>
        <w:tblW w:type="dxa" w:w="129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39"/>
        <w:gridCol w:w="1151"/>
        <w:gridCol w:w="1295"/>
        <w:gridCol w:w="1583"/>
        <w:gridCol w:w="1727"/>
        <w:gridCol w:w="1007"/>
        <w:gridCol w:w="1583"/>
        <w:gridCol w:w="1295"/>
        <w:gridCol w:w="935"/>
        <w:gridCol w:w="935"/>
      </w:tblGrid>
      <w:tr>
        <w:trPr>
          <w:tblHeader w:val="true"/>
          <w:cantSplit w:val="true"/>
        </w:trPr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Event ID / linked records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Device and lot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Dates and setting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Device problem (Annex A) + category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Health effect (Annex E/F), outcome, source</w:t>
            </w:r>
          </w:p>
        </w:tc>
        <w:tc>
          <w:tcPr>
            <w:tcW w:type="dxa" w:w="10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Return status</w:t>
            </w:r>
          </w:p>
        </w:tc>
        <w:tc>
          <w:tcPr>
            <w:tcW w:type="dxa" w:w="158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Bench method and result (Annex B–D)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Alternatives</w:t>
            </w:r>
          </w:p>
        </w:tc>
        <w:tc>
          <w:tcPr>
            <w:tcW w:type="dxa" w:w="9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Reviewer 1</w:t>
            </w:r>
          </w:p>
        </w:tc>
        <w:tc>
          <w:tcPr>
            <w:tcW w:type="dxa" w:w="9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Reviewer 2</w:t>
            </w:r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18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158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  <w:tc>
          <w:tcPr>
            <w:tcW w:type="dxa" w:w="93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sectPr>
          <w:pgSz w:w="15840" w:h="12240" w:orient="landscape"/>
          <w:pgMar w:top="1440" w:right="1440" w:bottom="1440" w:left="1440" w:header="648" w:footer="576" w:gutter="0"/>
          <w:cols w:space="720"/>
          <w:docGrid w:linePitch="360"/>
        </w:sectPr>
      </w:pPr>
    </w:p>
    <w:p>
      <w:pPr>
        <w:pStyle w:val="Heading1"/>
      </w:pPr>
      <w:r>
        <w:t>Part 3 — Second-reviewer QC checklist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895"/>
        <w:gridCol w:w="2159"/>
        <w:gridCol w:w="1295"/>
        <w:gridCol w:w="1007"/>
      </w:tblGrid>
      <w:tr>
        <w:trPr>
          <w:tblHeader w:val="true"/>
          <w:cantSplit w:val="true"/>
        </w:trPr>
        <w:tc>
          <w:tcPr>
            <w:tcW w:type="dxa" w:w="48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Checked by</w:t>
            </w:r>
          </w:p>
        </w:tc>
        <w:tc>
          <w:tcPr>
            <w:tcW w:type="dxa" w:w="10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Every duplicate link has a stated reason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Unique-event total reconciles with the trend count for the same window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Returned plus non-returned equals unique events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Confirmed plus no fault found equals returned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Random sample of rows, plus every row with a serious outcome, compared against source records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Every no-fault-found result names the bench method used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Every non-returned event has a recorded reason for non-return where one is known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48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Lot proportion paired with distribution share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Attach the completed checklist to the signal record with the line listing and the flow diagram.</w:t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Suturex circular stapler, trend window Year 3, month 10 to Year 4, month 4.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11"/>
        <w:gridCol w:w="1152"/>
        <w:gridCol w:w="4895"/>
      </w:tblGrid>
      <w:tr>
        <w:trPr>
          <w:tblHeader w:val="true"/>
          <w:cantSplit w:val="true"/>
        </w:trPr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15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48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 records retrieved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212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Wide search, window Y3 M10 to Y4 M4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Unique events after linking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Matches trend total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Devices returned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53% of events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Confirmed misfire on bench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44 from lots SX-2310 onward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No fault found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Analyzed, not dismissed</w:t>
            </w:r>
          </w:p>
        </w:tc>
      </w:tr>
      <w:tr>
        <w:trPr>
          <w:cantSplit w:val="true"/>
        </w:trPr>
        <w:tc>
          <w:tcPr>
            <w:tcW w:type="dxa" w:w="331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No device returned</w:t>
            </w:r>
          </w:p>
        </w:tc>
        <w:tc>
          <w:tcPr>
            <w:tcW w:type="dxa" w:w="115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48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Described and adjudicated from records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15.1 — Suturex selection flow (illustrative, fictional case).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36"/>
        <w:gridCol w:w="3312"/>
        <w:gridCol w:w="3312"/>
      </w:tblGrid>
      <w:tr>
        <w:trPr>
          <w:tblHeader w:val="true"/>
          <w:cantSplit w:val="true"/>
        </w:trPr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Content rule</w:t>
            </w:r>
          </w:p>
        </w:tc>
        <w:tc>
          <w:tcPr>
            <w:tcW w:type="dxa" w:w="331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Example entry format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Event ID and linked records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Master ID plus every linked record ID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Master ID; linked IDs listed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and lot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Catalog code, cartridge lot as labeled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Lot from label; flag if SX-2310 onward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Dates and setting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Event date, awareness date, facility type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Operating room, hospital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problem (IMDRF Annex A)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Coded term plus adjudication category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Misfire; confirmed / probable / not confirmed / unassessable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Health effect (IMDRF Annex E and F)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Coded term, outcome, confirmation source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Anastomotic leak; reoperation; operative note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15.2 — Tool T-13 line-listing core columns (company tool). The full template adds return status, bench method and result in IMDRF Annex B to D terms, alternative explanations, and each reviewer's assessment.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040"/>
        <w:gridCol w:w="4320"/>
      </w:tblGrid>
      <w:tr>
        <w:trPr>
          <w:tblHeader w:val="true"/>
          <w:cantSplit w:val="true"/>
        </w:trPr>
        <w:tc>
          <w:tcPr>
            <w:tcW w:type="dxa" w:w="50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3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Suturex result</w:t>
            </w:r>
          </w:p>
        </w:tc>
      </w:tr>
      <w:tr>
        <w:trPr>
          <w:cantSplit w:val="true"/>
        </w:trPr>
        <w:tc>
          <w:tcPr>
            <w:tcW w:type="dxa" w:w="504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Unique events reconcile with trend total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180 = 180</w:t>
            </w:r>
          </w:p>
        </w:tc>
      </w:tr>
      <w:tr>
        <w:trPr>
          <w:cantSplit w:val="true"/>
        </w:trPr>
        <w:tc>
          <w:tcPr>
            <w:tcW w:type="dxa" w:w="504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Returned plus non-returned equals unique events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96 + 84 = 180</w:t>
            </w:r>
          </w:p>
        </w:tc>
      </w:tr>
      <w:tr>
        <w:trPr>
          <w:cantSplit w:val="true"/>
        </w:trPr>
        <w:tc>
          <w:tcPr>
            <w:tcW w:type="dxa" w:w="504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Confirmed plus no fault found equals returned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61 + 35 = 96</w:t>
            </w:r>
          </w:p>
        </w:tc>
      </w:tr>
      <w:tr>
        <w:trPr>
          <w:cantSplit w:val="true"/>
        </w:trPr>
        <w:tc>
          <w:tcPr>
            <w:tcW w:type="dxa" w:w="504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All serious-outcome rows verified against source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 of 9 leak events checked</w:t>
            </w:r>
          </w:p>
        </w:tc>
      </w:tr>
      <w:tr>
        <w:trPr>
          <w:cantSplit w:val="true"/>
        </w:trPr>
        <w:tc>
          <w:tcPr>
            <w:tcW w:type="dxa" w:w="504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Lot proportion paired with distribution share</w:t>
            </w:r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Pending distribution extract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15.3 — Tool T-13 QC reconciliation, filled for Suturex (illustrative, fictional case).</w:t>
      </w:r>
    </w:p>
    <w:sectPr w:rsidR="00FC693F" w:rsidRPr="0006063C" w:rsidSect="00034616"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T-13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T-13 — Event Adjudication Guide and Line-Listing Template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