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T-14</w:t>
      </w:r>
    </w:p>
    <w:p>
      <w:pPr>
        <w:pStyle w:val="Title"/>
      </w:pPr>
      <w:r>
        <w:t>Root-Cause Investigation and Human-Factors Checklist</w:t>
      </w:r>
    </w:p>
    <w:p>
      <w:r>
        <w:rPr>
          <w:i/>
          <w:color w:val="595959"/>
          <w:sz w:val="21"/>
        </w:rPr>
        <w:t>Design, manufacturing, use or patient: a fixed structure that makes the evidence for each family of cause visible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Gives the investigation six parts: problem statement in IMDRF terms; fault tree or fishbone with minimal cut sets; evidence table for design, manufacturing, use and patient; human-factors checklist; attribution statement with its certainty; and the link from each cut set to an action.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For any validated signal where the attribution (design, manufacturing, use or patient) decides the action. Store the completed template in the signal record and cross-reference it from the CAPA and the risk management file.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16, Root Cause: Design, Manufacturing, Use or Patient — section 16.5 (Tables 16.1 and 16.2).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record ID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/ model / component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Data cut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Investigation lead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1 — Problem statement (IMDRF terms)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592"/>
        <w:gridCol w:w="2592"/>
        <w:gridCol w:w="4175"/>
      </w:tblGrid>
      <w:tr>
        <w:trPr>
          <w:tblHeader w:val="true"/>
          <w:cantSplit w:val="true"/>
        </w:trPr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Axis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Term (IMDRF)</w:t>
            </w:r>
          </w:p>
        </w:tc>
        <w:tc>
          <w:tcPr>
            <w:tcW w:type="dxa" w:w="417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Description and count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problem (Annex A)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Component (Annex G)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Health effect (Annex E)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Health impact (Annex F)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6192"/>
      </w:tblGrid>
      <w:tr>
        <w:trPr>
          <w:cantSplit w:val="true"/>
          <w:trHeight w:val="720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Pattern and denominator (rates by setting, version, lot)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2 — Fault tree or fishbone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6192"/>
      </w:tblGrid>
      <w:tr>
        <w:trPr>
          <w:cantSplit w:val="true"/>
          <w:trHeight w:val="576" w:hRule="atLeast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Top event (precise definition)</w:t>
            </w:r>
          </w:p>
        </w:tc>
        <w:tc>
          <w:tcPr>
            <w:tcW w:type="dxa" w:w="6192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864"/>
        <w:gridCol w:w="4031"/>
        <w:gridCol w:w="2592"/>
        <w:gridCol w:w="1872"/>
      </w:tblGrid>
      <w:tr>
        <w:trPr>
          <w:tblHeader w:val="true"/>
          <w:cantSplit w:val="true"/>
        </w:trPr>
        <w:tc>
          <w:tcPr>
            <w:tcW w:type="dxa" w:w="86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03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Event (basic or intermediate)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Family (design / manufacturing / use / labeling / patient)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Gate it feeds (AND / OR)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  <w:tc>
          <w:tcPr>
            <w:tcW w:type="dxa" w:w="4032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  <w:tc>
          <w:tcPr>
            <w:tcW w:type="dxa" w:w="4032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  <w:tc>
          <w:tcPr>
            <w:tcW w:type="dxa" w:w="4032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  <w:tc>
          <w:tcPr>
            <w:tcW w:type="dxa" w:w="4032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  <w:tc>
          <w:tcPr>
            <w:tcW w:type="dxa" w:w="4032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  <w:tc>
          <w:tcPr>
            <w:tcW w:type="dxa" w:w="4032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  <w:tc>
          <w:tcPr>
            <w:tcW w:type="dxa" w:w="4032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864"/>
          </w:tcPr>
          <w:p>
            <w:pPr>
              <w:spacing w:after="20" w:line="240" w:lineRule="auto"/>
            </w:pPr>
            <w:r/>
          </w:p>
        </w:tc>
        <w:tc>
          <w:tcPr>
            <w:tcW w:type="dxa" w:w="4032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4320"/>
        <w:gridCol w:w="3168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Minimal cut set</w:t>
            </w:r>
          </w:p>
        </w:tc>
        <w:tc>
          <w:tcPr>
            <w:tcW w:type="dxa" w:w="432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Events in the set</w:t>
            </w:r>
          </w:p>
        </w:tc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Evidence status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With an AND gate at the top, every cut set contains the AND-gate inputs; a control that removes one of them breaks every cut set.</w:t>
      </w:r>
    </w:p>
    <w:p>
      <w:pPr>
        <w:pStyle w:val="Heading1"/>
      </w:pPr>
      <w:r>
        <w:t>Part 3 — Evidence table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4608"/>
        <w:gridCol w:w="2880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460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Use</w:t>
            </w:r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Design</w:t>
            </w:r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Labeling</w:t>
            </w:r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Manufacturing</w:t>
            </w:r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Patient</w:t>
            </w:r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4 — Human-factors checklist (IEC 62366-1 frame)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456"/>
        <w:gridCol w:w="5903"/>
      </w:tblGrid>
      <w:tr>
        <w:trPr>
          <w:tblHeader w:val="true"/>
          <w:cantSplit w:val="true"/>
        </w:trPr>
        <w:tc>
          <w:tcPr>
            <w:tcW w:type="dxa" w:w="345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Checklist item</w:t>
            </w:r>
          </w:p>
        </w:tc>
        <w:tc>
          <w:tcPr>
            <w:tcW w:type="dxa" w:w="59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Task step that failed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Does the design permit the error?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Is there an automatic safeguard?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Representative users tested?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Error reproduced?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Use environment considered?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Labeling salience checked?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Reportability of use error considered?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5 — Attribution statement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456"/>
        <w:gridCol w:w="5903"/>
      </w:tblGrid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Attributed cause(s) and family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Certainty (e.g., established / probable / possible) and reasoning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Families considered and not supported, with evidence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6 — Cut set to action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584"/>
        <w:gridCol w:w="2592"/>
        <w:gridCol w:w="1440"/>
        <w:gridCol w:w="2160"/>
        <w:gridCol w:w="1584"/>
      </w:tblGrid>
      <w:tr>
        <w:trPr>
          <w:tblHeader w:val="true"/>
          <w:cantSplit w:val="true"/>
        </w:trPr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Minimal cut set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Action that breaks it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Interim or permanent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Effectiveness check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CAPA / risk file reference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Sign-off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Investigation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Human-factors specialist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Clinical reviewer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Orvana infusion pump with the C-2 cassette, Year 4 (45 free-flow complaints; home 7.0 vs hospital 1.6 per 1,000 pumps).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864"/>
        <w:gridCol w:w="5760"/>
        <w:gridCol w:w="2736"/>
      </w:tblGrid>
      <w:tr>
        <w:trPr>
          <w:tblHeader w:val="true"/>
          <w:cantSplit w:val="true"/>
        </w:trPr>
        <w:tc>
          <w:tcPr>
            <w:tcW w:type="dxa" w:w="86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7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Family / gate</w:t>
            </w:r>
          </w:p>
        </w:tc>
      </w:tr>
      <w:tr>
        <w:trPr>
          <w:cantSplit w:val="true"/>
        </w:trPr>
        <w:tc>
          <w:tcPr>
            <w:tcW w:type="dxa" w:w="86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Top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Free-flow event: uncontrolled gravity infusion from an Orvana pump with the C-2 cassette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AND gate G1 (B1, B2, E1)</w:t>
            </w:r>
          </w:p>
        </w:tc>
      </w:tr>
      <w:tr>
        <w:trPr>
          <w:cantSplit w:val="true"/>
        </w:trPr>
        <w:tc>
          <w:tcPr>
            <w:tcW w:type="dxa" w:w="86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B1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C-2 cassette has no automatic anti-free-flow clamp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86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B2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Pump permits cassette removal while the flow path is open (no clamp interlock)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86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E1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Flow path open when the cassette is removed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OR gate G2 (E2, B6)</w:t>
            </w:r>
          </w:p>
        </w:tc>
      </w:tr>
      <w:tr>
        <w:trPr>
          <w:cantSplit w:val="true"/>
        </w:trPr>
        <w:tc>
          <w:tcPr>
            <w:tcW w:type="dxa" w:w="86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E2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Roller clamp not closed before removal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Use; OR gate G3 (B3, B4, B5)</w:t>
            </w:r>
          </w:p>
        </w:tc>
      </w:tr>
      <w:tr>
        <w:trPr>
          <w:cantSplit w:val="true"/>
        </w:trPr>
        <w:tc>
          <w:tcPr>
            <w:tcW w:type="dxa" w:w="86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B3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Clamping step omitted during an interrupted task (bag change, alarm handling, end of infusion)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Use</w:t>
            </w:r>
          </w:p>
        </w:tc>
      </w:tr>
      <w:tr>
        <w:trPr>
          <w:cantSplit w:val="true"/>
        </w:trPr>
        <w:tc>
          <w:tcPr>
            <w:tcW w:type="dxa" w:w="86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B4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Clamping step not trained, or not retained, by a lay caregiver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Use</w:t>
            </w:r>
          </w:p>
        </w:tc>
      </w:tr>
      <w:tr>
        <w:trPr>
          <w:cantSplit w:val="true"/>
        </w:trPr>
        <w:tc>
          <w:tcPr>
            <w:tcW w:type="dxa" w:w="86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B5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Clamping cue in the IFU or on the device not seen at the point of use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Labeling (a design family)</w:t>
            </w:r>
          </w:p>
        </w:tc>
      </w:tr>
      <w:tr>
        <w:trPr>
          <w:cantSplit w:val="true"/>
        </w:trPr>
        <w:tc>
          <w:tcPr>
            <w:tcW w:type="dxa" w:w="86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B6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Roller clamp closed but does not occlude the tubing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Manufacturing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Fault tree from Chapter 16, Step 2. Minimal cut sets: {B1, B2, B3}, {B1, B2, B4}, {B1, B2, B5}, {B1, B2, B6}.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4895"/>
        <w:gridCol w:w="2592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48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Use (B3, B4)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Home rate 7.0 vs hospital 1.6 per 1,000 pumps; 7 of 9 consequences at home; simulated use 4 of 15 lay caregivers vs 1 of 15 nurses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Supported; stronger with lay users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Design (B1, B2)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Present in every C-2 unit; IFU instructs clamping but design does not enforce it; error reproduced in simulated use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Supported; necessary in every cut set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Labeling (B5)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Clamping step is in the IFU; salience at point of use not yet tested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Possible; test in revised training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Manufacturing (B6)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Same pump in both settings, yet rates differ by setting; confirm with returned-cassette testing and lot genealogy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Not supported by the pattern; close with records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Patient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Does not cause free flow; affects severity of harm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Record for the risk file, not the cause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16.1 — Orvana root-cause evidence table (illustrative, fictional case).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456"/>
        <w:gridCol w:w="5903"/>
      </w:tblGrid>
      <w:tr>
        <w:trPr>
          <w:tblHeader w:val="true"/>
          <w:cantSplit w:val="true"/>
        </w:trPr>
        <w:tc>
          <w:tcPr>
            <w:tcW w:type="dxa" w:w="345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Checklist item</w:t>
            </w:r>
          </w:p>
        </w:tc>
        <w:tc>
          <w:tcPr>
            <w:tcW w:type="dxa" w:w="59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Orvana entry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Task step that failed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Closing the roller clamp before cassette removal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Does the design permit the error?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Yes: removal allowed with the flow path open (B2)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Is there an automatic safeguard?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No: C-2 has no anti-free-flow clamp (B1)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Representative users tested?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Lay caregivers and nurses, 15 each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Error reproduced?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4 of 15 lay caregivers; 1 of 15 nurses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Use environment considered?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Home: interruptions, night-time bag changes, no second person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Labeling salience checked?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Pending; include in revised home training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Reportability of use error considered?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Yes, per jurisdiction (GB rule on use error noted)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16.2 — Tool T-14 human-factors checklist, partly filled for Orvana (illustrative, company tool).</w:t>
      </w:r>
    </w:p>
    <w:p>
      <w:r>
        <w:rPr>
          <w:b w:val="0"/>
          <w:i/>
          <w:color w:val="595959"/>
          <w:sz w:val="18"/>
        </w:rPr>
        <w:t>Part 6 for Orvana: every cut set is broken by the C-3 cassette (automatic anti-free-flow clamp removes B1); retraining acts on B4 and partly on B3; the interim IFU and home-training update and home-kit caution label reduce three of the four cut sets until conversion is complete. Effectiveness check: home free-flow complaints below 2.0 per 1,000 pumps per year (annualized from each quarter's count) for two consecutive quarters after C-3 conversion.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T-14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T-14 — Root-Cause Investigation and Human-Factors Checklist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