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T-15</w:t>
      </w:r>
    </w:p>
    <w:p>
      <w:pPr>
        <w:pStyle w:val="Title"/>
      </w:pPr>
      <w:r>
        <w:t>Totality-of-Evidence and Device-Causality Template</w:t>
      </w:r>
    </w:p>
    <w:p>
      <w:r>
        <w:rPr>
          <w:i/>
          <w:color w:val="595959"/>
          <w:sz w:val="21"/>
        </w:rPr>
        <w:t>Part A: evidence table · Part B: structured causality argument · Part C: four-part conclusion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Turns integrated assessment into a record: one row per evidence source with its weight for the question (Part A); a device-adapted causality argument (Part B); and a conclusion that states what the evidence supports, what remains uncertain, the effect on the risk management file and the action that follows (Part C).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When the parts of an assessment (question, case series, returned-device findings, root cause) are complete. Complete the template before the review board meets.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17, Integrated Assessment and Causality — section 17.5 (Tables 17.1 and 17.2).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 / constituent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Assessment question (T-12 reference)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Evidence table</w:t>
      </w:r>
    </w:p>
    <w:p>
      <w:r>
        <w:rPr>
          <w:b w:val="0"/>
        </w:rPr>
        <w:t>Weight belongs to the pairing of a source and a question. For each source ask: does it measure the outcome the question defines? Does it cover the population, version, lot or technique in question? Does it have a denominator and a fair comparator?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304"/>
        <w:gridCol w:w="2592"/>
        <w:gridCol w:w="1440"/>
        <w:gridCol w:w="1296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Strength and limitation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Discordance log — explain each disagreement before concluding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Sources that disagree</w:t>
            </w:r>
          </w:p>
        </w:tc>
        <w:tc>
          <w:tcPr>
            <w:tcW w:type="dxa" w:w="64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Explanation (outcome definition, population, technique, time window, underreporting)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B — Device-causality argument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47"/>
        <w:gridCol w:w="2880"/>
        <w:gridCol w:w="2015"/>
        <w:gridCol w:w="2015"/>
      </w:tblGrid>
      <w:tr>
        <w:trPr>
          <w:tblHeader w:val="true"/>
          <w:cantSplit w:val="true"/>
        </w:trPr>
        <w:tc>
          <w:tcPr>
            <w:tcW w:type="dxa" w:w="244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Consideration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Effect on judgment (supports / weakens / neutral)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Gap to close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Temporality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Dose-like relationship (time in use, cycles, size, amount of substance)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Removal or replacement response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Bench reproduction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Plausibility (mechanism)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44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from similar devices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When a row says "neutral", write down why. A blank row and a neutral row mean different things to an auditor. No single consideration is required, and none is enough alone.</w:t>
      </w:r>
    </w:p>
    <w:p>
      <w:pPr>
        <w:pStyle w:val="Heading1"/>
      </w:pPr>
      <w:r>
        <w:t>Part C — Conclusion (four parts, in order)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744"/>
        <w:gridCol w:w="5616"/>
      </w:tblGrid>
      <w:tr>
        <w:trPr>
          <w:cantSplit w:val="true"/>
          <w:trHeight w:val="864" w:hRule="atLeast"/>
        </w:trPr>
        <w:tc>
          <w:tcPr>
            <w:tcW w:type="dxa" w:w="374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 What the evidence supports (confirmed / refuted / indeterminate; graded causal judgment)</w:t>
            </w:r>
          </w:p>
        </w:tc>
        <w:tc>
          <w:tcPr>
            <w:tcW w:type="dxa" w:w="56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864" w:hRule="atLeast"/>
        </w:trPr>
        <w:tc>
          <w:tcPr>
            <w:tcW w:type="dxa" w:w="374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2. What remains uncertain, and the evidence that would reduce it</w:t>
            </w:r>
          </w:p>
        </w:tc>
        <w:tc>
          <w:tcPr>
            <w:tcW w:type="dxa" w:w="56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864" w:hRule="atLeast"/>
        </w:trPr>
        <w:tc>
          <w:tcPr>
            <w:tcW w:type="dxa" w:w="374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3. Effect on the risk management file (new hazardous situation, changed probability or severity) — RMF reference</w:t>
            </w:r>
          </w:p>
        </w:tc>
        <w:tc>
          <w:tcPr>
            <w:tcW w:type="dxa" w:w="561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864" w:hRule="atLeast"/>
        </w:trPr>
        <w:tc>
          <w:tcPr>
            <w:tcW w:type="dxa" w:w="374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4. Action that follows — linked action numbers</w:t>
            </w:r>
          </w:p>
        </w:tc>
        <w:tc>
          <w:tcPr>
            <w:tcW w:type="dxa" w:w="561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Sign-off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owner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Clinical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Engineering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Veltrix PEEK cage pre-loaded with OIP-4 (combination product), data cut Year 3, month 6.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304"/>
        <w:gridCol w:w="2592"/>
        <w:gridCol w:w="1440"/>
        <w:gridCol w:w="1296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Strength and limitation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Complaints (19)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Onset 2–14 days; 12 off-label; 4 ectopic bone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Timing and imaging informative; no denominator by approach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PMCF (7 of 210)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3.3% (1.6–6.7) in anterior use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Active case finding; small; external comparator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Supports, on-label too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High for on-label incidence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Literature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About 1% without protein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Different populations and definitions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Sets comparator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Moderate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Spine registry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Weak signal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Outcome is reoperation; misses non-surgical cases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Engineering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 cage failure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Excludes a mechanical cause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Relocates the cause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High for that point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Protein escape, root exposure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Fits timing and imaging</w:t>
            </w:r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Moderate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17.1 — Veltrix evidence table, data cut Year 3, month 6 (Part A, 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160"/>
        <w:gridCol w:w="3456"/>
        <w:gridCol w:w="1872"/>
        <w:gridCol w:w="1872"/>
      </w:tblGrid>
      <w:tr>
        <w:trPr>
          <w:tblHeader w:val="true"/>
          <w:cantSplit w:val="true"/>
        </w:trPr>
        <w:tc>
          <w:tcPr>
            <w:tcW w:type="dxa" w:w="21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Consideration</w:t>
            </w:r>
          </w:p>
        </w:tc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Veltrix evidence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Effect on judgment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Gap to close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Temporality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Onset median 5 days (2–14)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Complaints, PMCF and mechanism agree; registry explained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Standard definition in PMCF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Dose-like relationship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Off-label approaches, which expose the root, dominate reports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Supports, not quantified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Approach-specific denominator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Removal or replacement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Not applicable to a fused cage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None feasible</w:t>
            </w:r>
          </w:p>
        </w:tc>
      </w:tr>
      <w:tr>
        <w:trPr>
          <w:cantSplit w:val="true"/>
        </w:trPr>
        <w:tc>
          <w:tcPr>
            <w:tcW w:type="dxa" w:w="216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Reproduction and plausibility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 cage failure; ectopic bone in 4 of 19; inflammatory mechanism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 a constituent cause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Imaging review of PMCF cases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17.2 — T-15 Part B, device-causality argument for Veltrix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36"/>
        <w:gridCol w:w="6623"/>
      </w:tblGrid>
      <w:tr>
        <w:trPr>
          <w:tblHeader w:val="true"/>
          <w:cantSplit w:val="true"/>
        </w:trPr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Part C</w:t>
            </w:r>
          </w:p>
        </w:tc>
        <w:tc>
          <w:tcPr>
            <w:tcW w:type="dxa" w:w="66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Veltrix entry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 What the evidence supports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Signal confirmed. Probable causal association between OIP-4 delivered with Veltrix and postoperative radiculitis; strongest with off-label posterior or transforaminal use; some excess also with anterior use.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2. What remains uncertain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The size of the on-label excess and the true rate by approach.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3. Effect on the risk management file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New hazardous situation (protein reaching an exposed nerve root); re-estimated probability for on-label use.</w:t>
            </w:r>
          </w:p>
        </w:tc>
      </w:tr>
      <w:tr>
        <w:trPr>
          <w:cantSplit w:val="true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4. Action that follows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IFU warning and contraindication for posterior and transforaminal approaches; surgeon communication; PMCF amendment adding a standard radiculitis definition; report, through the notified body, to the medicines authority consulted on the ancillary substance (MDR Article 1(8), Annex IX section 5.2).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Part C summarized from Chapter 17, Step 8. Drug-constituent events are coded in MedDRA and the device aspects in IMDRF terms.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T-15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T-15 — Totality-of-Evidence and Device-Causality Template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