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7375E"/>
          <w:sz w:val="18"/>
        </w:rPr>
        <w:t>COMPANION TOOLKIT · TOOL T-16</w:t>
      </w:r>
    </w:p>
    <w:p>
      <w:pPr>
        <w:pStyle w:val="Title"/>
      </w:pPr>
      <w:r>
        <w:t>Risk Management File Update Worksheet</w:t>
      </w:r>
    </w:p>
    <w:p>
      <w:r>
        <w:rPr>
          <w:i/>
          <w:color w:val="595959"/>
          <w:sz w:val="21"/>
        </w:rPr>
        <w:t>Before the signal, interim, and after verification — with the evidence for each change</w:t>
      </w:r>
    </w:p>
    <w:p>
      <w:pPr>
        <w:pBdr>
          <w:bottom w:val="single" w:sz="6" w:space="1" w:color="17375E"/>
        </w:pBdr>
        <w:spacing w:after="160"/>
      </w:pPr>
      <w:r>
        <w:rPr>
          <w:color w:val="595959"/>
          <w:sz w:val="17"/>
        </w:rPr>
        <w:t>Signal Management in Medical Device Vigilance · Dr. Hafez Selim, MD, PhD · Selim Medical Press · © 2026</w:t>
      </w:r>
    </w:p>
    <w:tbl>
      <w:tblPr>
        <w:tblW w:type="dxa" w:w="936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7200"/>
      </w:tblGrid>
      <w:tr>
        <w:tc>
          <w:tcPr>
            <w:tcW w:type="dxa" w:w="2160"/>
            <w:shd w:val="clear" w:color="auto" w:fill="DCE6F1"/>
          </w:tcPr>
          <w:p>
            <w:r/>
            <w:r>
              <w:rPr>
                <w:b/>
                <w:color w:val="17375E"/>
              </w:rPr>
              <w:t>Purpose</w:t>
            </w:r>
          </w:p>
        </w:tc>
        <w:tc>
          <w:tcPr>
            <w:tcW w:type="dxa" w:w="7200"/>
          </w:tcPr>
          <w:p>
            <w:pPr>
              <w:spacing w:after="20" w:line="240" w:lineRule="auto"/>
            </w:pPr>
            <w:r/>
            <w:r>
              <w:rPr>
                <w:b w:val="0"/>
              </w:rPr>
              <w:t>Records the three updates to one risk management file entry in one place: the value before the signal, the interim value and the post-verification value, with the evidence behind each change. The header carries the signal record number so the link runs both ways.</w:t>
            </w:r>
          </w:p>
        </w:tc>
      </w:tr>
      <w:tr>
        <w:tc>
          <w:tcPr>
            <w:tcW w:type="dxa" w:w="2160"/>
            <w:shd w:val="clear" w:color="auto" w:fill="DCE6F1"/>
          </w:tcPr>
          <w:p>
            <w:r/>
            <w:r>
              <w:rPr>
                <w:b/>
                <w:color w:val="17375E"/>
              </w:rPr>
              <w:t>When to use</w:t>
            </w:r>
          </w:p>
        </w:tc>
        <w:tc>
          <w:tcPr>
            <w:tcW w:type="dxa" w:w="7200"/>
          </w:tcPr>
          <w:p>
            <w:pPr>
              <w:spacing w:after="20" w:line="240" w:lineRule="auto"/>
            </w:pPr>
            <w:r/>
            <w:r>
              <w:rPr>
                <w:b w:val="0"/>
              </w:rPr>
              <w:t>When a signal changes a hazardous situation, a severity, or a probability of harm (ISO 14971 clause 10 production and post-production review). Revisit after interim controls and again after verification of the permanent control.</w:t>
            </w:r>
          </w:p>
        </w:tc>
      </w:tr>
      <w:tr>
        <w:tc>
          <w:tcPr>
            <w:tcW w:type="dxa" w:w="2160"/>
            <w:shd w:val="clear" w:color="auto" w:fill="DCE6F1"/>
          </w:tcPr>
          <w:p>
            <w:r/>
            <w:r>
              <w:rPr>
                <w:b/>
                <w:color w:val="17375E"/>
              </w:rPr>
              <w:t>Chapter reference</w:t>
            </w:r>
          </w:p>
        </w:tc>
        <w:tc>
          <w:tcPr>
            <w:tcW w:type="dxa" w:w="7200"/>
          </w:tcPr>
          <w:p>
            <w:pPr>
              <w:spacing w:after="20" w:line="240" w:lineRule="auto"/>
            </w:pPr>
            <w:r/>
            <w:r>
              <w:rPr>
                <w:b w:val="0"/>
              </w:rPr>
              <w:t>Chapter 18, From Signal to Risk Management File — section 18.5 (Tables 18.1–18.3). Companion web tool: https://abdu94-hash.github.io/device-signal-tool/</w:t>
            </w:r>
          </w:p>
        </w:tc>
      </w:tr>
    </w:tbl>
    <w:p>
      <w:pPr>
        <w:spacing w:after="0" w:before="0" w:line="80" w:lineRule="exact"/>
      </w:pPr>
      <w:r>
        <w:rPr>
          <w:sz w:val="8"/>
        </w:rPr>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Signal record number</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Risk management file / hazard ID</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Device / version</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Prepared by / date</w:t>
            </w:r>
          </w:p>
        </w:tc>
        <w:tc>
          <w:tcPr>
            <w:tcW w:type="dxa" w:w="2376"/>
          </w:tcPr>
          <w:p>
            <w:pPr>
              <w:spacing w:after="20" w:line="240" w:lineRule="auto"/>
            </w:pPr>
            <w:r/>
          </w:p>
        </w:tc>
      </w:tr>
    </w:tbl>
    <w:p>
      <w:pPr>
        <w:spacing w:after="0" w:before="0" w:line="80" w:lineRule="exact"/>
      </w:pPr>
      <w:r>
        <w:rPr>
          <w:sz w:val="8"/>
        </w:rPr>
      </w:r>
    </w:p>
    <w:p>
      <w:pPr>
        <w:pStyle w:val="Heading1"/>
      </w:pPr>
      <w:r>
        <w:t>Part 1 — Post-market probability estimate</w:t>
      </w:r>
    </w:p>
    <w:p>
      <w:pPr>
        <w:spacing w:after="40"/>
        <w:ind w:left="360" w:hanging="360"/>
      </w:pPr>
      <w:r>
        <w:t xml:space="preserve">☐  </w:t>
      </w:r>
      <w:r>
        <w:rPr>
          <w:b/>
        </w:rPr>
        <w:t>Use the exposure of the affected population</w:t>
      </w:r>
      <w:r>
        <w:rPr>
          <w:b w:val="0"/>
        </w:rPr>
        <w:t xml:space="preserve"> (for example, device-years on the affected version, not the whole fleet).</w:t>
      </w:r>
    </w:p>
    <w:p>
      <w:pPr>
        <w:spacing w:after="40"/>
        <w:ind w:left="360" w:hanging="360"/>
      </w:pPr>
      <w:r>
        <w:t xml:space="preserve">☐  </w:t>
      </w:r>
      <w:r>
        <w:rPr>
          <w:b/>
        </w:rPr>
        <w:t>State the uncertainty.</w:t>
      </w:r>
      <w:r>
        <w:rPr>
          <w:b w:val="0"/>
        </w:rPr>
        <w:t xml:space="preserve"> A small count gives a wide interval; the risk evaluation should hold across the whole interval, not only at its midpoint.</w:t>
      </w:r>
    </w:p>
    <w:p>
      <w:pPr>
        <w:spacing w:after="40"/>
        <w:ind w:left="360" w:hanging="360"/>
      </w:pPr>
      <w:r>
        <w:t xml:space="preserve">☐  </w:t>
      </w:r>
      <w:r>
        <w:rPr>
          <w:b/>
        </w:rPr>
        <w:t>Write down what the estimate cannot see</w:t>
      </w:r>
      <w:r>
        <w:rPr>
          <w:b w:val="0"/>
        </w:rPr>
        <w:t xml:space="preserve"> (unreported events, short follow-up).</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6"/>
        <w:gridCol w:w="2304"/>
        <w:gridCol w:w="3600"/>
      </w:tblGrid>
      <w:tr>
        <w:trPr>
          <w:tblHeader w:val="true"/>
          <w:cantSplit w:val="true"/>
        </w:trPr>
        <w:tc>
          <w:tcPr>
            <w:tcW w:type="dxa" w:w="3456"/>
            <w:shd w:val="clear" w:color="auto" w:fill="17375E"/>
            <w:vAlign w:val="center"/>
          </w:tcPr>
          <w:p>
            <w:pPr>
              <w:spacing w:after="20" w:line="240" w:lineRule="auto"/>
            </w:pPr>
            <w:r>
              <w:rPr>
                <w:b/>
              </w:rPr>
            </w:r>
            <w:r>
              <w:rPr>
                <w:b/>
                <w:color w:val="FFFFFF"/>
                <w:sz w:val="18"/>
              </w:rPr>
              <w:t>Quantity</w:t>
            </w:r>
          </w:p>
        </w:tc>
        <w:tc>
          <w:tcPr>
            <w:tcW w:type="dxa" w:w="2304"/>
            <w:shd w:val="clear" w:color="auto" w:fill="17375E"/>
            <w:vAlign w:val="center"/>
          </w:tcPr>
          <w:p>
            <w:pPr>
              <w:spacing w:after="20" w:line="240" w:lineRule="auto"/>
            </w:pPr>
            <w:r>
              <w:rPr>
                <w:b/>
              </w:rPr>
            </w:r>
            <w:r>
              <w:rPr>
                <w:b/>
                <w:color w:val="FFFFFF"/>
                <w:sz w:val="18"/>
              </w:rPr>
              <w:t>Value</w:t>
            </w:r>
          </w:p>
        </w:tc>
        <w:tc>
          <w:tcPr>
            <w:tcW w:type="dxa" w:w="3600"/>
            <w:shd w:val="clear" w:color="auto" w:fill="17375E"/>
            <w:vAlign w:val="center"/>
          </w:tcPr>
          <w:p>
            <w:pPr>
              <w:spacing w:after="20" w:line="240" w:lineRule="auto"/>
            </w:pPr>
            <w:r>
              <w:rPr>
                <w:b/>
              </w:rPr>
            </w:r>
            <w:r>
              <w:rPr>
                <w:b/>
                <w:color w:val="FFFFFF"/>
                <w:sz w:val="18"/>
              </w:rPr>
              <w:t>Source / calculation</w:t>
            </w:r>
          </w:p>
        </w:tc>
      </w:tr>
      <w:tr>
        <w:trPr>
          <w:cantSplit w:val="true"/>
        </w:trPr>
        <w:tc>
          <w:tcPr>
            <w:tcW w:type="dxa" w:w="3456"/>
            <w:shd w:val="clear" w:color="auto" w:fill="DCE6F1"/>
          </w:tcPr>
          <w:p>
            <w:pPr>
              <w:spacing w:after="20" w:line="240" w:lineRule="auto"/>
            </w:pPr>
            <w:r>
              <w:rPr>
                <w:b/>
              </w:rPr>
            </w:r>
            <w:r>
              <w:rPr>
                <w:b/>
                <w:sz w:val="18"/>
              </w:rPr>
              <w:t>Events with the harm of interest (n)</w:t>
            </w:r>
          </w:p>
        </w:tc>
        <w:tc>
          <w:tcPr>
            <w:tcW w:type="dxa" w:w="2304"/>
          </w:tcPr>
          <w:p>
            <w:pPr>
              <w:spacing w:after="20" w:line="240" w:lineRule="auto"/>
            </w:pPr>
            <w:r/>
          </w:p>
        </w:tc>
        <w:tc>
          <w:tcPr>
            <w:tcW w:type="dxa" w:w="3600"/>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Exposure of the affected population</w:t>
            </w:r>
          </w:p>
        </w:tc>
        <w:tc>
          <w:tcPr>
            <w:tcW w:type="dxa" w:w="2304"/>
          </w:tcPr>
          <w:p>
            <w:pPr>
              <w:spacing w:after="20" w:line="240" w:lineRule="auto"/>
            </w:pPr>
            <w:r/>
          </w:p>
        </w:tc>
        <w:tc>
          <w:tcPr>
            <w:tcW w:type="dxa" w:w="3600"/>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Estimate = n ÷ exposure ("1 in …")</w:t>
            </w:r>
          </w:p>
        </w:tc>
        <w:tc>
          <w:tcPr>
            <w:tcW w:type="dxa" w:w="2304"/>
          </w:tcPr>
          <w:p>
            <w:pPr>
              <w:spacing w:after="20" w:line="240" w:lineRule="auto"/>
            </w:pPr>
            <w:r/>
          </w:p>
        </w:tc>
        <w:tc>
          <w:tcPr>
            <w:tcW w:type="dxa" w:w="3600"/>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Interval (method)</w:t>
            </w:r>
          </w:p>
        </w:tc>
        <w:tc>
          <w:tcPr>
            <w:tcW w:type="dxa" w:w="2304"/>
          </w:tcPr>
          <w:p>
            <w:pPr>
              <w:spacing w:after="20" w:line="240" w:lineRule="auto"/>
            </w:pPr>
            <w:r/>
          </w:p>
        </w:tc>
        <w:tc>
          <w:tcPr>
            <w:tcW w:type="dxa" w:w="3600"/>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Risk file estimate before the signal</w:t>
            </w:r>
          </w:p>
        </w:tc>
        <w:tc>
          <w:tcPr>
            <w:tcW w:type="dxa" w:w="2304"/>
          </w:tcPr>
          <w:p>
            <w:pPr>
              <w:spacing w:after="20" w:line="240" w:lineRule="auto"/>
            </w:pPr>
            <w:r/>
          </w:p>
        </w:tc>
        <w:tc>
          <w:tcPr>
            <w:tcW w:type="dxa" w:w="3600"/>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Known gaps in the estimate</w:t>
            </w:r>
          </w:p>
        </w:tc>
        <w:tc>
          <w:tcPr>
            <w:tcW w:type="dxa" w:w="2304"/>
          </w:tcPr>
          <w:p>
            <w:pPr>
              <w:spacing w:after="20" w:line="240" w:lineRule="auto"/>
            </w:pPr>
            <w:r/>
          </w:p>
        </w:tc>
        <w:tc>
          <w:tcPr>
            <w:tcW w:type="dxa" w:w="3600"/>
          </w:tcPr>
          <w:p>
            <w:pPr>
              <w:spacing w:after="20" w:line="240" w:lineRule="auto"/>
            </w:pPr>
            <w:r/>
          </w:p>
        </w:tc>
      </w:tr>
    </w:tbl>
    <w:p>
      <w:pPr>
        <w:spacing w:after="0" w:before="0" w:line="80" w:lineRule="exact"/>
      </w:pPr>
      <w:r>
        <w:rPr>
          <w:sz w:val="8"/>
        </w:rPr>
      </w:r>
    </w:p>
    <w:p>
      <w:pPr>
        <w:pStyle w:val="Heading1"/>
      </w:pPr>
      <w:r>
        <w:t>Part 2 — Update worksheet</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728"/>
        <w:gridCol w:w="1800"/>
        <w:gridCol w:w="1800"/>
        <w:gridCol w:w="2015"/>
        <w:gridCol w:w="2015"/>
      </w:tblGrid>
      <w:tr>
        <w:trPr>
          <w:tblHeader w:val="true"/>
          <w:cantSplit w:val="true"/>
        </w:trPr>
        <w:tc>
          <w:tcPr>
            <w:tcW w:type="dxa" w:w="1728"/>
            <w:shd w:val="clear" w:color="auto" w:fill="17375E"/>
            <w:vAlign w:val="center"/>
          </w:tcPr>
          <w:p>
            <w:pPr>
              <w:spacing w:after="20" w:line="240" w:lineRule="auto"/>
            </w:pPr>
            <w:r>
              <w:rPr>
                <w:b/>
              </w:rPr>
            </w:r>
            <w:r>
              <w:rPr>
                <w:b/>
                <w:color w:val="FFFFFF"/>
                <w:sz w:val="18"/>
              </w:rPr>
              <w:t>Risk file field</w:t>
            </w:r>
          </w:p>
        </w:tc>
        <w:tc>
          <w:tcPr>
            <w:tcW w:type="dxa" w:w="1800"/>
            <w:shd w:val="clear" w:color="auto" w:fill="17375E"/>
            <w:vAlign w:val="center"/>
          </w:tcPr>
          <w:p>
            <w:pPr>
              <w:spacing w:after="20" w:line="240" w:lineRule="auto"/>
            </w:pPr>
            <w:r>
              <w:rPr>
                <w:b/>
              </w:rPr>
            </w:r>
            <w:r>
              <w:rPr>
                <w:b/>
                <w:color w:val="FFFFFF"/>
                <w:sz w:val="18"/>
              </w:rPr>
              <w:t>Before signal</w:t>
            </w:r>
          </w:p>
        </w:tc>
        <w:tc>
          <w:tcPr>
            <w:tcW w:type="dxa" w:w="1800"/>
            <w:shd w:val="clear" w:color="auto" w:fill="17375E"/>
            <w:vAlign w:val="center"/>
          </w:tcPr>
          <w:p>
            <w:pPr>
              <w:spacing w:after="20" w:line="240" w:lineRule="auto"/>
            </w:pPr>
            <w:r>
              <w:rPr>
                <w:b/>
              </w:rPr>
            </w:r>
            <w:r>
              <w:rPr>
                <w:b/>
                <w:color w:val="FFFFFF"/>
                <w:sz w:val="18"/>
              </w:rPr>
              <w:t>Interim</w:t>
            </w:r>
          </w:p>
        </w:tc>
        <w:tc>
          <w:tcPr>
            <w:tcW w:type="dxa" w:w="2016"/>
            <w:shd w:val="clear" w:color="auto" w:fill="17375E"/>
            <w:vAlign w:val="center"/>
          </w:tcPr>
          <w:p>
            <w:pPr>
              <w:spacing w:after="20" w:line="240" w:lineRule="auto"/>
            </w:pPr>
            <w:r>
              <w:rPr>
                <w:b/>
              </w:rPr>
            </w:r>
            <w:r>
              <w:rPr>
                <w:b/>
                <w:color w:val="FFFFFF"/>
                <w:sz w:val="18"/>
              </w:rPr>
              <w:t>After verification (target / verified)</w:t>
            </w:r>
          </w:p>
        </w:tc>
        <w:tc>
          <w:tcPr>
            <w:tcW w:type="dxa" w:w="2016"/>
            <w:shd w:val="clear" w:color="auto" w:fill="17375E"/>
            <w:vAlign w:val="center"/>
          </w:tcPr>
          <w:p>
            <w:pPr>
              <w:spacing w:after="20" w:line="240" w:lineRule="auto"/>
            </w:pPr>
            <w:r>
              <w:rPr>
                <w:b/>
              </w:rPr>
            </w:r>
            <w:r>
              <w:rPr>
                <w:b/>
                <w:color w:val="FFFFFF"/>
                <w:sz w:val="18"/>
              </w:rPr>
              <w:t>Evidence for the change</w:t>
            </w:r>
          </w:p>
        </w:tc>
      </w:tr>
      <w:tr>
        <w:trPr>
          <w:cantSplit w:val="true"/>
        </w:trPr>
        <w:tc>
          <w:tcPr>
            <w:tcW w:type="dxa" w:w="1728"/>
            <w:shd w:val="clear" w:color="auto" w:fill="DCE6F1"/>
          </w:tcPr>
          <w:p>
            <w:pPr>
              <w:spacing w:after="20" w:line="240" w:lineRule="auto"/>
            </w:pPr>
            <w:r>
              <w:rPr>
                <w:b/>
              </w:rPr>
            </w:r>
            <w:r>
              <w:rPr>
                <w:b/>
                <w:sz w:val="18"/>
              </w:rPr>
              <w:t>Sequence of events</w:t>
            </w:r>
          </w:p>
        </w:tc>
        <w:tc>
          <w:tcPr>
            <w:tcW w:type="dxa" w:w="1800"/>
          </w:tcPr>
          <w:p>
            <w:pPr>
              <w:spacing w:after="20" w:line="240" w:lineRule="auto"/>
            </w:pPr>
            <w:r/>
          </w:p>
        </w:tc>
        <w:tc>
          <w:tcPr>
            <w:tcW w:type="dxa" w:w="1800"/>
          </w:tcPr>
          <w:p>
            <w:pPr>
              <w:spacing w:after="20" w:line="240" w:lineRule="auto"/>
            </w:pPr>
            <w:r/>
          </w:p>
        </w:tc>
        <w:tc>
          <w:tcPr>
            <w:tcW w:type="dxa" w:w="2016"/>
          </w:tcPr>
          <w:p>
            <w:pPr>
              <w:spacing w:after="20" w:line="240" w:lineRule="auto"/>
            </w:pPr>
            <w:r/>
          </w:p>
        </w:tc>
        <w:tc>
          <w:tcPr>
            <w:tcW w:type="dxa" w:w="2016"/>
          </w:tcPr>
          <w:p>
            <w:pPr>
              <w:spacing w:after="20" w:line="240" w:lineRule="auto"/>
            </w:pPr>
            <w:r/>
          </w:p>
        </w:tc>
      </w:tr>
      <w:tr>
        <w:trPr>
          <w:cantSplit w:val="true"/>
        </w:trPr>
        <w:tc>
          <w:tcPr>
            <w:tcW w:type="dxa" w:w="1728"/>
            <w:shd w:val="clear" w:color="auto" w:fill="DCE6F1"/>
          </w:tcPr>
          <w:p>
            <w:pPr>
              <w:spacing w:after="20" w:line="240" w:lineRule="auto"/>
            </w:pPr>
            <w:r>
              <w:rPr>
                <w:b/>
              </w:rPr>
            </w:r>
            <w:r>
              <w:rPr>
                <w:b/>
                <w:sz w:val="18"/>
              </w:rPr>
              <w:t>Severity</w:t>
            </w:r>
          </w:p>
        </w:tc>
        <w:tc>
          <w:tcPr>
            <w:tcW w:type="dxa" w:w="1800"/>
          </w:tcPr>
          <w:p>
            <w:pPr>
              <w:spacing w:after="20" w:line="240" w:lineRule="auto"/>
            </w:pPr>
            <w:r/>
          </w:p>
        </w:tc>
        <w:tc>
          <w:tcPr>
            <w:tcW w:type="dxa" w:w="1800"/>
          </w:tcPr>
          <w:p>
            <w:pPr>
              <w:spacing w:after="20" w:line="240" w:lineRule="auto"/>
            </w:pPr>
            <w:r/>
          </w:p>
        </w:tc>
        <w:tc>
          <w:tcPr>
            <w:tcW w:type="dxa" w:w="2016"/>
          </w:tcPr>
          <w:p>
            <w:pPr>
              <w:spacing w:after="20" w:line="240" w:lineRule="auto"/>
            </w:pPr>
            <w:r/>
          </w:p>
        </w:tc>
        <w:tc>
          <w:tcPr>
            <w:tcW w:type="dxa" w:w="2016"/>
          </w:tcPr>
          <w:p>
            <w:pPr>
              <w:spacing w:after="20" w:line="240" w:lineRule="auto"/>
            </w:pPr>
            <w:r/>
          </w:p>
        </w:tc>
      </w:tr>
      <w:tr>
        <w:trPr>
          <w:cantSplit w:val="true"/>
        </w:trPr>
        <w:tc>
          <w:tcPr>
            <w:tcW w:type="dxa" w:w="1728"/>
            <w:shd w:val="clear" w:color="auto" w:fill="DCE6F1"/>
          </w:tcPr>
          <w:p>
            <w:pPr>
              <w:spacing w:after="20" w:line="240" w:lineRule="auto"/>
            </w:pPr>
            <w:r>
              <w:rPr>
                <w:b/>
              </w:rPr>
            </w:r>
            <w:r>
              <w:rPr>
                <w:b/>
                <w:sz w:val="18"/>
              </w:rPr>
              <w:t>Probability of harm</w:t>
            </w:r>
          </w:p>
        </w:tc>
        <w:tc>
          <w:tcPr>
            <w:tcW w:type="dxa" w:w="1800"/>
          </w:tcPr>
          <w:p>
            <w:pPr>
              <w:spacing w:after="20" w:line="240" w:lineRule="auto"/>
            </w:pPr>
            <w:r/>
          </w:p>
        </w:tc>
        <w:tc>
          <w:tcPr>
            <w:tcW w:type="dxa" w:w="1800"/>
          </w:tcPr>
          <w:p>
            <w:pPr>
              <w:spacing w:after="20" w:line="240" w:lineRule="auto"/>
            </w:pPr>
            <w:r/>
          </w:p>
        </w:tc>
        <w:tc>
          <w:tcPr>
            <w:tcW w:type="dxa" w:w="2016"/>
          </w:tcPr>
          <w:p>
            <w:pPr>
              <w:spacing w:after="20" w:line="240" w:lineRule="auto"/>
            </w:pPr>
            <w:r/>
          </w:p>
        </w:tc>
        <w:tc>
          <w:tcPr>
            <w:tcW w:type="dxa" w:w="2016"/>
          </w:tcPr>
          <w:p>
            <w:pPr>
              <w:spacing w:after="20" w:line="240" w:lineRule="auto"/>
            </w:pPr>
            <w:r/>
          </w:p>
        </w:tc>
      </w:tr>
      <w:tr>
        <w:trPr>
          <w:cantSplit w:val="true"/>
        </w:trPr>
        <w:tc>
          <w:tcPr>
            <w:tcW w:type="dxa" w:w="1728"/>
            <w:shd w:val="clear" w:color="auto" w:fill="DCE6F1"/>
          </w:tcPr>
          <w:p>
            <w:pPr>
              <w:spacing w:after="20" w:line="240" w:lineRule="auto"/>
            </w:pPr>
            <w:r>
              <w:rPr>
                <w:b/>
              </w:rPr>
            </w:r>
            <w:r>
              <w:rPr>
                <w:b/>
                <w:sz w:val="18"/>
              </w:rPr>
              <w:t>Risk region</w:t>
            </w:r>
          </w:p>
        </w:tc>
        <w:tc>
          <w:tcPr>
            <w:tcW w:type="dxa" w:w="1800"/>
          </w:tcPr>
          <w:p>
            <w:pPr>
              <w:spacing w:after="20" w:line="240" w:lineRule="auto"/>
            </w:pPr>
            <w:r/>
          </w:p>
        </w:tc>
        <w:tc>
          <w:tcPr>
            <w:tcW w:type="dxa" w:w="1800"/>
          </w:tcPr>
          <w:p>
            <w:pPr>
              <w:spacing w:after="20" w:line="240" w:lineRule="auto"/>
            </w:pPr>
            <w:r/>
          </w:p>
        </w:tc>
        <w:tc>
          <w:tcPr>
            <w:tcW w:type="dxa" w:w="2016"/>
          </w:tcPr>
          <w:p>
            <w:pPr>
              <w:spacing w:after="20" w:line="240" w:lineRule="auto"/>
            </w:pPr>
            <w:r/>
          </w:p>
        </w:tc>
        <w:tc>
          <w:tcPr>
            <w:tcW w:type="dxa" w:w="2016"/>
          </w:tcPr>
          <w:p>
            <w:pPr>
              <w:spacing w:after="20" w:line="240" w:lineRule="auto"/>
            </w:pPr>
            <w:r/>
          </w:p>
        </w:tc>
      </w:tr>
      <w:tr>
        <w:trPr>
          <w:cantSplit w:val="true"/>
        </w:trPr>
        <w:tc>
          <w:tcPr>
            <w:tcW w:type="dxa" w:w="1728"/>
            <w:shd w:val="clear" w:color="auto" w:fill="DCE6F1"/>
          </w:tcPr>
          <w:p>
            <w:pPr>
              <w:spacing w:after="20" w:line="240" w:lineRule="auto"/>
            </w:pPr>
            <w:r>
              <w:rPr>
                <w:b/>
              </w:rPr>
            </w:r>
            <w:r>
              <w:rPr>
                <w:b/>
                <w:sz w:val="18"/>
              </w:rPr>
              <w:t>Controls and evidence</w:t>
            </w:r>
          </w:p>
        </w:tc>
        <w:tc>
          <w:tcPr>
            <w:tcW w:type="dxa" w:w="1800"/>
          </w:tcPr>
          <w:p>
            <w:pPr>
              <w:spacing w:after="20" w:line="240" w:lineRule="auto"/>
            </w:pPr>
            <w:r/>
          </w:p>
        </w:tc>
        <w:tc>
          <w:tcPr>
            <w:tcW w:type="dxa" w:w="1800"/>
          </w:tcPr>
          <w:p>
            <w:pPr>
              <w:spacing w:after="20" w:line="240" w:lineRule="auto"/>
            </w:pPr>
            <w:r/>
          </w:p>
        </w:tc>
        <w:tc>
          <w:tcPr>
            <w:tcW w:type="dxa" w:w="2016"/>
          </w:tcPr>
          <w:p>
            <w:pPr>
              <w:spacing w:after="20" w:line="240" w:lineRule="auto"/>
            </w:pPr>
            <w:r/>
          </w:p>
        </w:tc>
        <w:tc>
          <w:tcPr>
            <w:tcW w:type="dxa" w:w="2016"/>
          </w:tcPr>
          <w:p>
            <w:pPr>
              <w:spacing w:after="20" w:line="240" w:lineRule="auto"/>
            </w:pPr>
            <w:r/>
          </w:p>
        </w:tc>
      </w:tr>
    </w:tbl>
    <w:p>
      <w:pPr>
        <w:spacing w:after="0" w:before="0" w:line="80" w:lineRule="exact"/>
      </w:pPr>
      <w:r>
        <w:rPr>
          <w:sz w:val="8"/>
        </w:rPr>
      </w:r>
    </w:p>
    <w:p>
      <w:r>
        <w:rPr>
          <w:b w:val="0"/>
          <w:i/>
          <w:color w:val="595959"/>
          <w:sz w:val="18"/>
        </w:rPr>
        <w:t>Interim controls that rely on information (for example, a field safety notice) are recorded but, as in the book's example, may be given no risk-reduction credit. Record the reasoning when severity is unchanged.</w:t>
      </w:r>
    </w:p>
    <w:p>
      <w:pPr>
        <w:pStyle w:val="Heading1"/>
      </w:pPr>
      <w:r>
        <w:t>Part 3 — Review questions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4031"/>
        <w:gridCol w:w="5328"/>
      </w:tblGrid>
      <w:tr>
        <w:trPr>
          <w:cantSplit w:val="true"/>
          <w:trHeight w:val="720" w:hRule="atLeast"/>
        </w:trPr>
        <w:tc>
          <w:tcPr>
            <w:tcW w:type="dxa" w:w="4032"/>
            <w:shd w:val="clear" w:color="auto" w:fill="DCE6F1"/>
          </w:tcPr>
          <w:p>
            <w:pPr>
              <w:spacing w:after="20" w:line="240" w:lineRule="auto"/>
            </w:pPr>
            <w:r>
              <w:rPr>
                <w:b/>
              </w:rPr>
            </w:r>
            <w:r>
              <w:rPr>
                <w:b/>
                <w:sz w:val="18"/>
              </w:rPr>
              <w:t>Movement within a region: is further reduction now practicable, and does the benefit still outweigh the risk?</w:t>
            </w:r>
          </w:p>
        </w:tc>
        <w:tc>
          <w:tcPr>
            <w:tcW w:type="dxa" w:w="5328"/>
          </w:tcPr>
          <w:p>
            <w:pPr>
              <w:spacing w:after="20" w:line="240" w:lineRule="auto"/>
            </w:pPr>
            <w:r/>
          </w:p>
        </w:tc>
      </w:tr>
      <w:tr>
        <w:trPr>
          <w:cantSplit w:val="true"/>
          <w:trHeight w:val="720" w:hRule="atLeast"/>
        </w:trPr>
        <w:tc>
          <w:tcPr>
            <w:tcW w:type="dxa" w:w="4032"/>
            <w:shd w:val="clear" w:color="auto" w:fill="DCE6F1"/>
          </w:tcPr>
          <w:p>
            <w:pPr>
              <w:spacing w:after="20" w:line="240" w:lineRule="auto"/>
            </w:pPr>
            <w:r>
              <w:rPr>
                <w:b/>
              </w:rPr>
            </w:r>
            <w:r>
              <w:rPr>
                <w:b/>
                <w:sz w:val="18"/>
              </w:rPr>
              <w:t>State of the art: do comparable devices now include a protective measure this device lacks?</w:t>
            </w:r>
          </w:p>
        </w:tc>
        <w:tc>
          <w:tcPr>
            <w:tcW w:type="dxa" w:w="5328"/>
          </w:tcPr>
          <w:p>
            <w:pPr>
              <w:spacing w:after="20" w:line="240" w:lineRule="auto"/>
            </w:pPr>
            <w:r/>
          </w:p>
        </w:tc>
      </w:tr>
      <w:tr>
        <w:trPr>
          <w:cantSplit w:val="true"/>
          <w:trHeight w:val="720" w:hRule="atLeast"/>
        </w:trPr>
        <w:tc>
          <w:tcPr>
            <w:tcW w:type="dxa" w:w="4032"/>
            <w:shd w:val="clear" w:color="auto" w:fill="DCE6F1"/>
          </w:tcPr>
          <w:p>
            <w:pPr>
              <w:spacing w:after="20" w:line="240" w:lineRule="auto"/>
            </w:pPr>
            <w:r>
              <w:rPr>
                <w:b/>
              </w:rPr>
            </w:r>
            <w:r>
              <w:rPr>
                <w:b/>
                <w:sz w:val="18"/>
              </w:rPr>
              <w:t>Does the overall residual risk and benefit–risk conclusion still hold?</w:t>
            </w:r>
          </w:p>
        </w:tc>
        <w:tc>
          <w:tcPr>
            <w:tcW w:type="dxa" w:w="5328"/>
          </w:tcPr>
          <w:p>
            <w:pPr>
              <w:spacing w:after="20" w:line="240" w:lineRule="auto"/>
            </w:pPr>
            <w:r/>
          </w:p>
        </w:tc>
      </w:tr>
    </w:tbl>
    <w:p>
      <w:pPr>
        <w:spacing w:after="0" w:before="0" w:line="80" w:lineRule="exact"/>
      </w:pPr>
      <w:r>
        <w:rPr>
          <w:sz w:val="8"/>
        </w:rPr>
      </w:r>
    </w:p>
    <w:p>
      <w:pPr>
        <w:pStyle w:val="Heading3"/>
      </w:pPr>
      <w:r>
        <w:t>Which documents inherit the change?</w:t>
      </w:r>
    </w:p>
    <w:tbl>
      <w:tblPr>
        <w:tblW w:type="dxa" w:w="9359"/>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5"/>
        <w:gridCol w:w="1872"/>
        <w:gridCol w:w="2304"/>
        <w:gridCol w:w="1727"/>
      </w:tblGrid>
      <w:tr>
        <w:trPr>
          <w:tblHeader w:val="true"/>
          <w:cantSplit w:val="true"/>
        </w:trPr>
        <w:tc>
          <w:tcPr>
            <w:tcW w:type="dxa" w:w="3456"/>
            <w:shd w:val="clear" w:color="auto" w:fill="17375E"/>
            <w:vAlign w:val="center"/>
          </w:tcPr>
          <w:p>
            <w:pPr>
              <w:spacing w:after="20" w:line="240" w:lineRule="auto"/>
            </w:pPr>
            <w:r>
              <w:rPr>
                <w:b/>
              </w:rPr>
            </w:r>
            <w:r>
              <w:rPr>
                <w:b/>
                <w:color w:val="FFFFFF"/>
                <w:sz w:val="18"/>
              </w:rPr>
              <w:t>Document</w:t>
            </w:r>
          </w:p>
        </w:tc>
        <w:tc>
          <w:tcPr>
            <w:tcW w:type="dxa" w:w="1872"/>
            <w:shd w:val="clear" w:color="auto" w:fill="17375E"/>
            <w:vAlign w:val="center"/>
          </w:tcPr>
          <w:p>
            <w:pPr>
              <w:spacing w:after="20" w:line="240" w:lineRule="auto"/>
            </w:pPr>
            <w:r>
              <w:rPr>
                <w:b/>
              </w:rPr>
            </w:r>
            <w:r>
              <w:rPr>
                <w:b/>
                <w:color w:val="FFFFFF"/>
                <w:sz w:val="18"/>
              </w:rPr>
              <w:t>Change needed (Y/N)</w:t>
            </w:r>
          </w:p>
        </w:tc>
        <w:tc>
          <w:tcPr>
            <w:tcW w:type="dxa" w:w="2304"/>
            <w:shd w:val="clear" w:color="auto" w:fill="17375E"/>
            <w:vAlign w:val="center"/>
          </w:tcPr>
          <w:p>
            <w:pPr>
              <w:spacing w:after="20" w:line="240" w:lineRule="auto"/>
            </w:pPr>
            <w:r>
              <w:rPr>
                <w:b/>
              </w:rPr>
            </w:r>
            <w:r>
              <w:rPr>
                <w:b/>
                <w:color w:val="FFFFFF"/>
                <w:sz w:val="18"/>
              </w:rPr>
              <w:t>Owner</w:t>
            </w:r>
          </w:p>
        </w:tc>
        <w:tc>
          <w:tcPr>
            <w:tcW w:type="dxa" w:w="1728"/>
            <w:shd w:val="clear" w:color="auto" w:fill="17375E"/>
            <w:vAlign w:val="center"/>
          </w:tcPr>
          <w:p>
            <w:pPr>
              <w:spacing w:after="20" w:line="240" w:lineRule="auto"/>
            </w:pPr>
            <w:r>
              <w:rPr>
                <w:b/>
              </w:rPr>
            </w:r>
            <w:r>
              <w:rPr>
                <w:b/>
                <w:color w:val="FFFFFF"/>
                <w:sz w:val="18"/>
              </w:rPr>
              <w:t>Due / done</w:t>
            </w:r>
          </w:p>
        </w:tc>
      </w:tr>
      <w:tr>
        <w:trPr>
          <w:cantSplit w:val="true"/>
        </w:trPr>
        <w:tc>
          <w:tcPr>
            <w:tcW w:type="dxa" w:w="3456"/>
            <w:shd w:val="clear" w:color="auto" w:fill="DCE6F1"/>
          </w:tcPr>
          <w:p>
            <w:pPr>
              <w:spacing w:after="20" w:line="240" w:lineRule="auto"/>
            </w:pPr>
            <w:r>
              <w:rPr>
                <w:b/>
              </w:rPr>
            </w:r>
            <w:r>
              <w:rPr>
                <w:b/>
                <w:sz w:val="18"/>
              </w:rPr>
              <w:t>Clinical evaluation</w:t>
            </w:r>
          </w:p>
        </w:tc>
        <w:tc>
          <w:tcPr>
            <w:tcW w:type="dxa" w:w="1872"/>
          </w:tcPr>
          <w:p>
            <w:pPr>
              <w:spacing w:after="20" w:line="240" w:lineRule="auto"/>
            </w:pPr>
            <w:r/>
          </w:p>
        </w:tc>
        <w:tc>
          <w:tcPr>
            <w:tcW w:type="dxa" w:w="2304"/>
          </w:tcPr>
          <w:p>
            <w:pPr>
              <w:spacing w:after="20" w:line="240" w:lineRule="auto"/>
            </w:pPr>
            <w:r/>
          </w:p>
        </w:tc>
        <w:tc>
          <w:tcPr>
            <w:tcW w:type="dxa" w:w="1728"/>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PSUR</w:t>
            </w:r>
          </w:p>
        </w:tc>
        <w:tc>
          <w:tcPr>
            <w:tcW w:type="dxa" w:w="1872"/>
          </w:tcPr>
          <w:p>
            <w:pPr>
              <w:spacing w:after="20" w:line="240" w:lineRule="auto"/>
            </w:pPr>
            <w:r/>
          </w:p>
        </w:tc>
        <w:tc>
          <w:tcPr>
            <w:tcW w:type="dxa" w:w="2304"/>
          </w:tcPr>
          <w:p>
            <w:pPr>
              <w:spacing w:after="20" w:line="240" w:lineRule="auto"/>
            </w:pPr>
            <w:r/>
          </w:p>
        </w:tc>
        <w:tc>
          <w:tcPr>
            <w:tcW w:type="dxa" w:w="1728"/>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IFU</w:t>
            </w:r>
          </w:p>
        </w:tc>
        <w:tc>
          <w:tcPr>
            <w:tcW w:type="dxa" w:w="1872"/>
          </w:tcPr>
          <w:p>
            <w:pPr>
              <w:spacing w:after="20" w:line="240" w:lineRule="auto"/>
            </w:pPr>
            <w:r/>
          </w:p>
        </w:tc>
        <w:tc>
          <w:tcPr>
            <w:tcW w:type="dxa" w:w="2304"/>
          </w:tcPr>
          <w:p>
            <w:pPr>
              <w:spacing w:after="20" w:line="240" w:lineRule="auto"/>
            </w:pPr>
            <w:r/>
          </w:p>
        </w:tc>
        <w:tc>
          <w:tcPr>
            <w:tcW w:type="dxa" w:w="1728"/>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Field safety notice</w:t>
            </w:r>
          </w:p>
        </w:tc>
        <w:tc>
          <w:tcPr>
            <w:tcW w:type="dxa" w:w="1872"/>
          </w:tcPr>
          <w:p>
            <w:pPr>
              <w:spacing w:after="20" w:line="240" w:lineRule="auto"/>
            </w:pPr>
            <w:r/>
          </w:p>
        </w:tc>
        <w:tc>
          <w:tcPr>
            <w:tcW w:type="dxa" w:w="2304"/>
          </w:tcPr>
          <w:p>
            <w:pPr>
              <w:spacing w:after="20" w:line="240" w:lineRule="auto"/>
            </w:pPr>
            <w:r/>
          </w:p>
        </w:tc>
        <w:tc>
          <w:tcPr>
            <w:tcW w:type="dxa" w:w="1728"/>
          </w:tcPr>
          <w:p>
            <w:pPr>
              <w:spacing w:after="20" w:line="240" w:lineRule="auto"/>
            </w:pPr>
            <w:r/>
          </w:p>
        </w:tc>
      </w:tr>
      <w:tr>
        <w:trPr>
          <w:cantSplit w:val="true"/>
        </w:trPr>
        <w:tc>
          <w:tcPr>
            <w:tcW w:type="dxa" w:w="3456"/>
            <w:shd w:val="clear" w:color="auto" w:fill="DCE6F1"/>
          </w:tcPr>
          <w:p>
            <w:pPr>
              <w:spacing w:after="20" w:line="240" w:lineRule="auto"/>
            </w:pPr>
            <w:r>
              <w:rPr>
                <w:b/>
              </w:rPr>
            </w:r>
            <w:r>
              <w:rPr>
                <w:b/>
                <w:sz w:val="18"/>
              </w:rPr>
              <w:t>Other (SSCP, PMCF plan, PMS plan)</w:t>
            </w:r>
          </w:p>
        </w:tc>
        <w:tc>
          <w:tcPr>
            <w:tcW w:type="dxa" w:w="1872"/>
          </w:tcPr>
          <w:p>
            <w:pPr>
              <w:spacing w:after="20" w:line="240" w:lineRule="auto"/>
            </w:pPr>
            <w:r/>
          </w:p>
        </w:tc>
        <w:tc>
          <w:tcPr>
            <w:tcW w:type="dxa" w:w="2304"/>
          </w:tcPr>
          <w:p>
            <w:pPr>
              <w:spacing w:after="20" w:line="240" w:lineRule="auto"/>
            </w:pPr>
            <w:r/>
          </w:p>
        </w:tc>
        <w:tc>
          <w:tcPr>
            <w:tcW w:type="dxa" w:w="1728"/>
          </w:tcPr>
          <w:p>
            <w:pPr>
              <w:spacing w:after="20" w:line="240" w:lineRule="auto"/>
            </w:pPr>
            <w:r/>
          </w:p>
        </w:tc>
      </w:tr>
    </w:tbl>
    <w:p>
      <w:pPr>
        <w:spacing w:after="0" w:before="0" w:line="80" w:lineRule="exact"/>
      </w:pPr>
      <w:r>
        <w:rPr>
          <w:sz w:val="8"/>
        </w:rPr>
      </w:r>
    </w:p>
    <w:p>
      <w:r>
        <w:rPr>
          <w:b w:val="0"/>
          <w:i/>
          <w:color w:val="595959"/>
          <w:sz w:val="18"/>
        </w:rPr>
        <w:t>Use Tool T-22 to reconcile the documents.</w:t>
      </w:r>
    </w:p>
    <w:p>
      <w:pPr>
        <w:pStyle w:val="Heading3"/>
      </w:pPr>
      <w:r>
        <w:t>Sign-off</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2592"/>
        <w:gridCol w:w="2304"/>
        <w:gridCol w:w="1296"/>
      </w:tblGrid>
      <w:tr>
        <w:trPr>
          <w:tblHeader w:val="true"/>
          <w:cantSplit w:val="true"/>
        </w:trPr>
        <w:tc>
          <w:tcPr>
            <w:tcW w:type="dxa" w:w="3168"/>
            <w:shd w:val="clear" w:color="auto" w:fill="17375E"/>
            <w:vAlign w:val="center"/>
          </w:tcPr>
          <w:p>
            <w:pPr>
              <w:spacing w:after="20" w:line="240" w:lineRule="auto"/>
            </w:pPr>
            <w:r>
              <w:rPr>
                <w:b/>
              </w:rPr>
            </w:r>
            <w:r>
              <w:rPr>
                <w:b/>
                <w:color w:val="FFFFFF"/>
                <w:sz w:val="18"/>
              </w:rPr>
              <w:t>Role</w:t>
            </w:r>
          </w:p>
        </w:tc>
        <w:tc>
          <w:tcPr>
            <w:tcW w:type="dxa" w:w="2592"/>
            <w:shd w:val="clear" w:color="auto" w:fill="17375E"/>
            <w:vAlign w:val="center"/>
          </w:tcPr>
          <w:p>
            <w:pPr>
              <w:spacing w:after="20" w:line="240" w:lineRule="auto"/>
            </w:pPr>
            <w:r>
              <w:rPr>
                <w:b/>
              </w:rPr>
            </w:r>
            <w:r>
              <w:rPr>
                <w:b/>
                <w:color w:val="FFFFFF"/>
                <w:sz w:val="18"/>
              </w:rPr>
              <w:t>Name</w:t>
            </w:r>
          </w:p>
        </w:tc>
        <w:tc>
          <w:tcPr>
            <w:tcW w:type="dxa" w:w="2304"/>
            <w:shd w:val="clear" w:color="auto" w:fill="17375E"/>
            <w:vAlign w:val="center"/>
          </w:tcPr>
          <w:p>
            <w:pPr>
              <w:spacing w:after="20" w:line="240" w:lineRule="auto"/>
            </w:pPr>
            <w:r>
              <w:rPr>
                <w:b/>
              </w:rPr>
            </w:r>
            <w:r>
              <w:rPr>
                <w:b/>
                <w:color w:val="FFFFFF"/>
                <w:sz w:val="18"/>
              </w:rPr>
              <w:t>Signature</w:t>
            </w:r>
          </w:p>
        </w:tc>
        <w:tc>
          <w:tcPr>
            <w:tcW w:type="dxa" w:w="1296"/>
            <w:shd w:val="clear" w:color="auto" w:fill="17375E"/>
            <w:vAlign w:val="center"/>
          </w:tcPr>
          <w:p>
            <w:pPr>
              <w:spacing w:after="20" w:line="240" w:lineRule="auto"/>
            </w:pPr>
            <w:r>
              <w:rPr>
                <w:b/>
              </w:rPr>
            </w:r>
            <w:r>
              <w:rPr>
                <w:b/>
                <w:color w:val="FFFFFF"/>
                <w:sz w:val="18"/>
              </w:rPr>
              <w:t>Date</w:t>
            </w:r>
          </w:p>
        </w:tc>
      </w:tr>
      <w:tr>
        <w:trPr>
          <w:cantSplit w:val="true"/>
        </w:trPr>
        <w:tc>
          <w:tcPr>
            <w:tcW w:type="dxa" w:w="3168"/>
            <w:shd w:val="clear" w:color="auto" w:fill="DCE6F1"/>
          </w:tcPr>
          <w:p>
            <w:pPr>
              <w:spacing w:after="20" w:line="240" w:lineRule="auto"/>
            </w:pPr>
            <w:r>
              <w:rPr>
                <w:b/>
              </w:rPr>
            </w:r>
            <w:r>
              <w:rPr>
                <w:b/>
                <w:sz w:val="18"/>
              </w:rPr>
              <w:t>Risk management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Safety physician</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Signal owner</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bl>
    <w:p>
      <w:pPr>
        <w:spacing w:after="0" w:before="0" w:line="80" w:lineRule="exact"/>
      </w:pPr>
      <w:r>
        <w:rPr>
          <w:sz w:val="8"/>
        </w:rPr>
      </w:r>
    </w:p>
    <w:p>
      <w:pPr>
        <w:pStyle w:val="Heading1"/>
      </w:pPr>
      <w:r>
        <w:t>Reference — illustrative company risk matrix</w:t>
      </w:r>
    </w:p>
    <w:p>
      <w:r>
        <w:rPr>
          <w:b w:val="0"/>
        </w:rPr>
        <w:t>A company example, not a regulatory requirement. ISO 14971 leaves the acceptability criteria to the manufacturer's policy, which must reflect the generally acknowledged state of the art. "ALARP region" is the company's label for risks acceptable only after showing that further reduction is not practicable and that the benefit outweighs the residual risk.</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728"/>
        <w:gridCol w:w="2880"/>
        <w:gridCol w:w="1584"/>
        <w:gridCol w:w="1584"/>
        <w:gridCol w:w="1584"/>
      </w:tblGrid>
      <w:tr>
        <w:trPr>
          <w:tblHeader w:val="true"/>
          <w:cantSplit w:val="true"/>
        </w:trPr>
        <w:tc>
          <w:tcPr>
            <w:tcW w:type="dxa" w:w="1728"/>
            <w:shd w:val="clear" w:color="auto" w:fill="17375E"/>
            <w:vAlign w:val="center"/>
          </w:tcPr>
          <w:p>
            <w:pPr>
              <w:spacing w:after="20" w:line="240" w:lineRule="auto"/>
            </w:pPr>
            <w:r>
              <w:rPr>
                <w:b/>
              </w:rPr>
            </w:r>
            <w:r>
              <w:rPr>
                <w:b/>
                <w:color w:val="FFFFFF"/>
                <w:sz w:val="17"/>
              </w:rPr>
              <w:t>Probability band</w:t>
            </w:r>
          </w:p>
        </w:tc>
        <w:tc>
          <w:tcPr>
            <w:tcW w:type="dxa" w:w="2880"/>
            <w:shd w:val="clear" w:color="auto" w:fill="17375E"/>
            <w:vAlign w:val="center"/>
          </w:tcPr>
          <w:p>
            <w:pPr>
              <w:spacing w:after="20" w:line="240" w:lineRule="auto"/>
            </w:pPr>
            <w:r>
              <w:rPr>
                <w:b/>
              </w:rPr>
            </w:r>
            <w:r>
              <w:rPr>
                <w:b/>
                <w:color w:val="FFFFFF"/>
                <w:sz w:val="17"/>
              </w:rPr>
              <w:t>Occurrences per pump-year</w:t>
            </w:r>
          </w:p>
        </w:tc>
        <w:tc>
          <w:tcPr>
            <w:tcW w:type="dxa" w:w="1584"/>
            <w:shd w:val="clear" w:color="auto" w:fill="17375E"/>
            <w:vAlign w:val="center"/>
          </w:tcPr>
          <w:p>
            <w:pPr>
              <w:spacing w:after="20" w:line="240" w:lineRule="auto"/>
            </w:pPr>
            <w:r>
              <w:rPr>
                <w:b/>
              </w:rPr>
            </w:r>
            <w:r>
              <w:rPr>
                <w:b/>
                <w:color w:val="FFFFFF"/>
                <w:sz w:val="17"/>
              </w:rPr>
              <w:t>Acceptable at</w:t>
            </w:r>
          </w:p>
        </w:tc>
        <w:tc>
          <w:tcPr>
            <w:tcW w:type="dxa" w:w="1584"/>
            <w:shd w:val="clear" w:color="auto" w:fill="17375E"/>
            <w:vAlign w:val="center"/>
          </w:tcPr>
          <w:p>
            <w:pPr>
              <w:spacing w:after="20" w:line="240" w:lineRule="auto"/>
            </w:pPr>
            <w:r>
              <w:rPr>
                <w:b/>
              </w:rPr>
            </w:r>
            <w:r>
              <w:rPr>
                <w:b/>
                <w:color w:val="FFFFFF"/>
                <w:sz w:val="17"/>
              </w:rPr>
              <w:t>ALARP region at</w:t>
            </w:r>
          </w:p>
        </w:tc>
        <w:tc>
          <w:tcPr>
            <w:tcW w:type="dxa" w:w="1584"/>
            <w:shd w:val="clear" w:color="auto" w:fill="17375E"/>
            <w:vAlign w:val="center"/>
          </w:tcPr>
          <w:p>
            <w:pPr>
              <w:spacing w:after="20" w:line="240" w:lineRule="auto"/>
            </w:pPr>
            <w:r>
              <w:rPr>
                <w:b/>
              </w:rPr>
            </w:r>
            <w:r>
              <w:rPr>
                <w:b/>
                <w:color w:val="FFFFFF"/>
                <w:sz w:val="17"/>
              </w:rPr>
              <w:t>Unacceptable at</w:t>
            </w:r>
          </w:p>
        </w:tc>
      </w:tr>
      <w:tr>
        <w:trPr>
          <w:cantSplit w:val="true"/>
        </w:trPr>
        <w:tc>
          <w:tcPr>
            <w:tcW w:type="dxa" w:w="1728"/>
            <w:shd w:val="clear" w:color="auto" w:fill="DCE6F1"/>
          </w:tcPr>
          <w:p>
            <w:pPr>
              <w:spacing w:after="20" w:line="240" w:lineRule="auto"/>
            </w:pPr>
            <w:r>
              <w:rPr>
                <w:b/>
              </w:rPr>
            </w:r>
            <w:r>
              <w:rPr>
                <w:b/>
                <w:sz w:val="17"/>
              </w:rPr>
              <w:t>P5 Frequent</w:t>
            </w:r>
          </w:p>
        </w:tc>
        <w:tc>
          <w:tcPr>
            <w:tcW w:type="dxa" w:w="2880"/>
          </w:tcPr>
          <w:p>
            <w:pPr>
              <w:spacing w:after="20" w:line="240" w:lineRule="auto"/>
            </w:pPr>
            <w:r/>
            <w:r>
              <w:rPr>
                <w:b w:val="0"/>
                <w:sz w:val="17"/>
              </w:rPr>
              <w:t>1 in 1,000 or more</w:t>
            </w:r>
          </w:p>
        </w:tc>
        <w:tc>
          <w:tcPr>
            <w:tcW w:type="dxa" w:w="1584"/>
          </w:tcPr>
          <w:p>
            <w:pPr>
              <w:spacing w:after="20" w:line="240" w:lineRule="auto"/>
            </w:pPr>
            <w:r/>
            <w:r>
              <w:rPr>
                <w:b w:val="0"/>
                <w:sz w:val="17"/>
              </w:rPr>
              <w:t>None</w:t>
            </w:r>
          </w:p>
        </w:tc>
        <w:tc>
          <w:tcPr>
            <w:tcW w:type="dxa" w:w="1584"/>
          </w:tcPr>
          <w:p>
            <w:pPr>
              <w:spacing w:after="20" w:line="240" w:lineRule="auto"/>
            </w:pPr>
            <w:r/>
            <w:r>
              <w:rPr>
                <w:b w:val="0"/>
                <w:sz w:val="17"/>
              </w:rPr>
              <w:t>S1–S2</w:t>
            </w:r>
          </w:p>
        </w:tc>
        <w:tc>
          <w:tcPr>
            <w:tcW w:type="dxa" w:w="1584"/>
          </w:tcPr>
          <w:p>
            <w:pPr>
              <w:spacing w:after="20" w:line="240" w:lineRule="auto"/>
            </w:pPr>
            <w:r/>
            <w:r>
              <w:rPr>
                <w:b w:val="0"/>
                <w:sz w:val="17"/>
              </w:rPr>
              <w:t>S3–S5</w:t>
            </w:r>
          </w:p>
        </w:tc>
      </w:tr>
      <w:tr>
        <w:trPr>
          <w:cantSplit w:val="true"/>
        </w:trPr>
        <w:tc>
          <w:tcPr>
            <w:tcW w:type="dxa" w:w="1728"/>
            <w:shd w:val="clear" w:color="auto" w:fill="DCE6F1"/>
          </w:tcPr>
          <w:p>
            <w:pPr>
              <w:spacing w:after="20" w:line="240" w:lineRule="auto"/>
            </w:pPr>
            <w:r>
              <w:rPr>
                <w:b/>
              </w:rPr>
            </w:r>
            <w:r>
              <w:rPr>
                <w:b/>
                <w:sz w:val="17"/>
              </w:rPr>
              <w:t>P4 Probable</w:t>
            </w:r>
          </w:p>
        </w:tc>
        <w:tc>
          <w:tcPr>
            <w:tcW w:type="dxa" w:w="2880"/>
          </w:tcPr>
          <w:p>
            <w:pPr>
              <w:spacing w:after="20" w:line="240" w:lineRule="auto"/>
            </w:pPr>
            <w:r/>
            <w:r>
              <w:rPr>
                <w:b w:val="0"/>
                <w:sz w:val="17"/>
              </w:rPr>
              <w:t>1 in 10,000 to less than 1 in 1,000</w:t>
            </w:r>
          </w:p>
        </w:tc>
        <w:tc>
          <w:tcPr>
            <w:tcW w:type="dxa" w:w="1584"/>
          </w:tcPr>
          <w:p>
            <w:pPr>
              <w:spacing w:after="20" w:line="240" w:lineRule="auto"/>
            </w:pPr>
            <w:r/>
            <w:r>
              <w:rPr>
                <w:b w:val="0"/>
                <w:sz w:val="17"/>
              </w:rPr>
              <w:t>S1</w:t>
            </w:r>
          </w:p>
        </w:tc>
        <w:tc>
          <w:tcPr>
            <w:tcW w:type="dxa" w:w="1584"/>
          </w:tcPr>
          <w:p>
            <w:pPr>
              <w:spacing w:after="20" w:line="240" w:lineRule="auto"/>
            </w:pPr>
            <w:r/>
            <w:r>
              <w:rPr>
                <w:b w:val="0"/>
                <w:sz w:val="17"/>
              </w:rPr>
              <w:t>S2–S3</w:t>
            </w:r>
          </w:p>
        </w:tc>
        <w:tc>
          <w:tcPr>
            <w:tcW w:type="dxa" w:w="1584"/>
          </w:tcPr>
          <w:p>
            <w:pPr>
              <w:spacing w:after="20" w:line="240" w:lineRule="auto"/>
            </w:pPr>
            <w:r/>
            <w:r>
              <w:rPr>
                <w:b w:val="0"/>
                <w:sz w:val="17"/>
              </w:rPr>
              <w:t>S4–S5</w:t>
            </w:r>
          </w:p>
        </w:tc>
      </w:tr>
      <w:tr>
        <w:trPr>
          <w:cantSplit w:val="true"/>
        </w:trPr>
        <w:tc>
          <w:tcPr>
            <w:tcW w:type="dxa" w:w="1728"/>
            <w:shd w:val="clear" w:color="auto" w:fill="DCE6F1"/>
          </w:tcPr>
          <w:p>
            <w:pPr>
              <w:spacing w:after="20" w:line="240" w:lineRule="auto"/>
            </w:pPr>
            <w:r>
              <w:rPr>
                <w:b/>
              </w:rPr>
            </w:r>
            <w:r>
              <w:rPr>
                <w:b/>
                <w:sz w:val="17"/>
              </w:rPr>
              <w:t>P3 Occasional</w:t>
            </w:r>
          </w:p>
        </w:tc>
        <w:tc>
          <w:tcPr>
            <w:tcW w:type="dxa" w:w="2880"/>
          </w:tcPr>
          <w:p>
            <w:pPr>
              <w:spacing w:after="20" w:line="240" w:lineRule="auto"/>
            </w:pPr>
            <w:r/>
            <w:r>
              <w:rPr>
                <w:b w:val="0"/>
                <w:sz w:val="17"/>
              </w:rPr>
              <w:t>1 in 100,000 to less than 1 in 10,000</w:t>
            </w:r>
          </w:p>
        </w:tc>
        <w:tc>
          <w:tcPr>
            <w:tcW w:type="dxa" w:w="1584"/>
          </w:tcPr>
          <w:p>
            <w:pPr>
              <w:spacing w:after="20" w:line="240" w:lineRule="auto"/>
            </w:pPr>
            <w:r/>
            <w:r>
              <w:rPr>
                <w:b w:val="0"/>
                <w:sz w:val="17"/>
              </w:rPr>
              <w:t>S1–S2</w:t>
            </w:r>
          </w:p>
        </w:tc>
        <w:tc>
          <w:tcPr>
            <w:tcW w:type="dxa" w:w="1584"/>
          </w:tcPr>
          <w:p>
            <w:pPr>
              <w:spacing w:after="20" w:line="240" w:lineRule="auto"/>
            </w:pPr>
            <w:r/>
            <w:r>
              <w:rPr>
                <w:b w:val="0"/>
                <w:sz w:val="17"/>
              </w:rPr>
              <w:t>S3–S4</w:t>
            </w:r>
          </w:p>
        </w:tc>
        <w:tc>
          <w:tcPr>
            <w:tcW w:type="dxa" w:w="1584"/>
          </w:tcPr>
          <w:p>
            <w:pPr>
              <w:spacing w:after="20" w:line="240" w:lineRule="auto"/>
            </w:pPr>
            <w:r/>
            <w:r>
              <w:rPr>
                <w:b w:val="0"/>
                <w:sz w:val="17"/>
              </w:rPr>
              <w:t>S5</w:t>
            </w:r>
          </w:p>
        </w:tc>
      </w:tr>
      <w:tr>
        <w:trPr>
          <w:cantSplit w:val="true"/>
        </w:trPr>
        <w:tc>
          <w:tcPr>
            <w:tcW w:type="dxa" w:w="1728"/>
            <w:shd w:val="clear" w:color="auto" w:fill="DCE6F1"/>
          </w:tcPr>
          <w:p>
            <w:pPr>
              <w:spacing w:after="20" w:line="240" w:lineRule="auto"/>
            </w:pPr>
            <w:r>
              <w:rPr>
                <w:b/>
              </w:rPr>
            </w:r>
            <w:r>
              <w:rPr>
                <w:b/>
                <w:sz w:val="17"/>
              </w:rPr>
              <w:t>P2 Remote</w:t>
            </w:r>
          </w:p>
        </w:tc>
        <w:tc>
          <w:tcPr>
            <w:tcW w:type="dxa" w:w="2880"/>
          </w:tcPr>
          <w:p>
            <w:pPr>
              <w:spacing w:after="20" w:line="240" w:lineRule="auto"/>
            </w:pPr>
            <w:r/>
            <w:r>
              <w:rPr>
                <w:b w:val="0"/>
                <w:sz w:val="17"/>
              </w:rPr>
              <w:t>1 in 1,000,000 to less than 1 in 100,000</w:t>
            </w:r>
          </w:p>
        </w:tc>
        <w:tc>
          <w:tcPr>
            <w:tcW w:type="dxa" w:w="1584"/>
          </w:tcPr>
          <w:p>
            <w:pPr>
              <w:spacing w:after="20" w:line="240" w:lineRule="auto"/>
            </w:pPr>
            <w:r/>
            <w:r>
              <w:rPr>
                <w:b w:val="0"/>
                <w:sz w:val="17"/>
              </w:rPr>
              <w:t>S1–S3</w:t>
            </w:r>
          </w:p>
        </w:tc>
        <w:tc>
          <w:tcPr>
            <w:tcW w:type="dxa" w:w="1584"/>
          </w:tcPr>
          <w:p>
            <w:pPr>
              <w:spacing w:after="20" w:line="240" w:lineRule="auto"/>
            </w:pPr>
            <w:r/>
            <w:r>
              <w:rPr>
                <w:b w:val="0"/>
                <w:sz w:val="17"/>
              </w:rPr>
              <w:t>S4–S5</w:t>
            </w:r>
          </w:p>
        </w:tc>
        <w:tc>
          <w:tcPr>
            <w:tcW w:type="dxa" w:w="1584"/>
          </w:tcPr>
          <w:p>
            <w:pPr>
              <w:spacing w:after="20" w:line="240" w:lineRule="auto"/>
            </w:pPr>
            <w:r/>
            <w:r>
              <w:rPr>
                <w:b w:val="0"/>
                <w:sz w:val="17"/>
              </w:rPr>
              <w:t>None</w:t>
            </w:r>
          </w:p>
        </w:tc>
      </w:tr>
      <w:tr>
        <w:trPr>
          <w:cantSplit w:val="true"/>
        </w:trPr>
        <w:tc>
          <w:tcPr>
            <w:tcW w:type="dxa" w:w="1728"/>
            <w:shd w:val="clear" w:color="auto" w:fill="DCE6F1"/>
          </w:tcPr>
          <w:p>
            <w:pPr>
              <w:spacing w:after="20" w:line="240" w:lineRule="auto"/>
            </w:pPr>
            <w:r>
              <w:rPr>
                <w:b/>
              </w:rPr>
            </w:r>
            <w:r>
              <w:rPr>
                <w:b/>
                <w:sz w:val="17"/>
              </w:rPr>
              <w:t>P1 Improbable</w:t>
            </w:r>
          </w:p>
        </w:tc>
        <w:tc>
          <w:tcPr>
            <w:tcW w:type="dxa" w:w="2880"/>
          </w:tcPr>
          <w:p>
            <w:pPr>
              <w:spacing w:after="20" w:line="240" w:lineRule="auto"/>
            </w:pPr>
            <w:r/>
            <w:r>
              <w:rPr>
                <w:b w:val="0"/>
                <w:sz w:val="17"/>
              </w:rPr>
              <w:t>Less than 1 in 1,000,000</w:t>
            </w:r>
          </w:p>
        </w:tc>
        <w:tc>
          <w:tcPr>
            <w:tcW w:type="dxa" w:w="1584"/>
          </w:tcPr>
          <w:p>
            <w:pPr>
              <w:spacing w:after="20" w:line="240" w:lineRule="auto"/>
            </w:pPr>
            <w:r/>
            <w:r>
              <w:rPr>
                <w:b w:val="0"/>
                <w:sz w:val="17"/>
              </w:rPr>
              <w:t>S1–S4</w:t>
            </w:r>
          </w:p>
        </w:tc>
        <w:tc>
          <w:tcPr>
            <w:tcW w:type="dxa" w:w="1584"/>
          </w:tcPr>
          <w:p>
            <w:pPr>
              <w:spacing w:after="20" w:line="240" w:lineRule="auto"/>
            </w:pPr>
            <w:r/>
            <w:r>
              <w:rPr>
                <w:b w:val="0"/>
                <w:sz w:val="17"/>
              </w:rPr>
              <w:t>S5</w:t>
            </w:r>
          </w:p>
        </w:tc>
        <w:tc>
          <w:tcPr>
            <w:tcW w:type="dxa" w:w="1584"/>
          </w:tcPr>
          <w:p>
            <w:pPr>
              <w:spacing w:after="20" w:line="240" w:lineRule="auto"/>
            </w:pPr>
            <w:r/>
            <w:r>
              <w:rPr>
                <w:b w:val="0"/>
                <w:sz w:val="17"/>
              </w:rPr>
              <w:t>None</w:t>
            </w:r>
          </w:p>
        </w:tc>
      </w:tr>
    </w:tbl>
    <w:p>
      <w:pPr>
        <w:spacing w:after="160"/>
      </w:pPr>
      <w:r>
        <w:rPr>
          <w:i/>
          <w:color w:val="595959"/>
          <w:sz w:val="17"/>
        </w:rPr>
        <w:t>Table 18.1 — Illustrative company 5×5 risk matrix: probability bands and risk regions.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864"/>
        <w:gridCol w:w="1728"/>
        <w:gridCol w:w="6768"/>
      </w:tblGrid>
      <w:tr>
        <w:trPr>
          <w:tblHeader w:val="true"/>
          <w:cantSplit w:val="true"/>
        </w:trPr>
        <w:tc>
          <w:tcPr>
            <w:tcW w:type="dxa" w:w="864"/>
            <w:shd w:val="clear" w:color="auto" w:fill="17375E"/>
            <w:vAlign w:val="center"/>
          </w:tcPr>
          <w:p>
            <w:pPr>
              <w:spacing w:after="20" w:line="240" w:lineRule="auto"/>
            </w:pPr>
            <w:r>
              <w:rPr>
                <w:b/>
              </w:rPr>
            </w:r>
            <w:r>
              <w:rPr>
                <w:b/>
                <w:color w:val="FFFFFF"/>
                <w:sz w:val="17"/>
              </w:rPr>
              <w:t>Level</w:t>
            </w:r>
          </w:p>
        </w:tc>
        <w:tc>
          <w:tcPr>
            <w:tcW w:type="dxa" w:w="1728"/>
            <w:shd w:val="clear" w:color="auto" w:fill="17375E"/>
            <w:vAlign w:val="center"/>
          </w:tcPr>
          <w:p>
            <w:pPr>
              <w:spacing w:after="20" w:line="240" w:lineRule="auto"/>
            </w:pPr>
            <w:r>
              <w:rPr>
                <w:b/>
              </w:rPr>
            </w:r>
            <w:r>
              <w:rPr>
                <w:b/>
                <w:color w:val="FFFFFF"/>
                <w:sz w:val="17"/>
              </w:rPr>
              <w:t>Label</w:t>
            </w:r>
          </w:p>
        </w:tc>
        <w:tc>
          <w:tcPr>
            <w:tcW w:type="dxa" w:w="6768"/>
            <w:shd w:val="clear" w:color="auto" w:fill="17375E"/>
            <w:vAlign w:val="center"/>
          </w:tcPr>
          <w:p>
            <w:pPr>
              <w:spacing w:after="20" w:line="240" w:lineRule="auto"/>
            </w:pPr>
            <w:r>
              <w:rPr>
                <w:b/>
              </w:rPr>
            </w:r>
            <w:r>
              <w:rPr>
                <w:b/>
                <w:color w:val="FFFFFF"/>
                <w:sz w:val="17"/>
              </w:rPr>
              <w:t>Definition (company example)</w:t>
            </w:r>
          </w:p>
        </w:tc>
      </w:tr>
      <w:tr>
        <w:trPr>
          <w:cantSplit w:val="true"/>
        </w:trPr>
        <w:tc>
          <w:tcPr>
            <w:tcW w:type="dxa" w:w="864"/>
            <w:shd w:val="clear" w:color="auto" w:fill="DCE6F1"/>
          </w:tcPr>
          <w:p>
            <w:pPr>
              <w:spacing w:after="20" w:line="240" w:lineRule="auto"/>
            </w:pPr>
            <w:r>
              <w:rPr>
                <w:b/>
              </w:rPr>
            </w:r>
            <w:r>
              <w:rPr>
                <w:b/>
                <w:sz w:val="17"/>
              </w:rPr>
              <w:t>S1</w:t>
            </w:r>
          </w:p>
        </w:tc>
        <w:tc>
          <w:tcPr>
            <w:tcW w:type="dxa" w:w="1728"/>
          </w:tcPr>
          <w:p>
            <w:pPr>
              <w:spacing w:after="20" w:line="240" w:lineRule="auto"/>
            </w:pPr>
            <w:r/>
            <w:r>
              <w:rPr>
                <w:b w:val="0"/>
                <w:sz w:val="17"/>
              </w:rPr>
              <w:t>Negligible</w:t>
            </w:r>
          </w:p>
        </w:tc>
        <w:tc>
          <w:tcPr>
            <w:tcW w:type="dxa" w:w="6768"/>
          </w:tcPr>
          <w:p>
            <w:pPr>
              <w:spacing w:after="20" w:line="240" w:lineRule="auto"/>
            </w:pPr>
            <w:r/>
            <w:r>
              <w:rPr>
                <w:b w:val="0"/>
                <w:sz w:val="17"/>
              </w:rPr>
              <w:t>Inconvenience or temporary discomfort; no intervention</w:t>
            </w:r>
          </w:p>
        </w:tc>
      </w:tr>
      <w:tr>
        <w:trPr>
          <w:cantSplit w:val="true"/>
        </w:trPr>
        <w:tc>
          <w:tcPr>
            <w:tcW w:type="dxa" w:w="864"/>
            <w:shd w:val="clear" w:color="auto" w:fill="DCE6F1"/>
          </w:tcPr>
          <w:p>
            <w:pPr>
              <w:spacing w:after="20" w:line="240" w:lineRule="auto"/>
            </w:pPr>
            <w:r>
              <w:rPr>
                <w:b/>
              </w:rPr>
            </w:r>
            <w:r>
              <w:rPr>
                <w:b/>
                <w:sz w:val="17"/>
              </w:rPr>
              <w:t>S2</w:t>
            </w:r>
          </w:p>
        </w:tc>
        <w:tc>
          <w:tcPr>
            <w:tcW w:type="dxa" w:w="1728"/>
          </w:tcPr>
          <w:p>
            <w:pPr>
              <w:spacing w:after="20" w:line="240" w:lineRule="auto"/>
            </w:pPr>
            <w:r/>
            <w:r>
              <w:rPr>
                <w:b w:val="0"/>
                <w:sz w:val="17"/>
              </w:rPr>
              <w:t>Minor</w:t>
            </w:r>
          </w:p>
        </w:tc>
        <w:tc>
          <w:tcPr>
            <w:tcW w:type="dxa" w:w="6768"/>
          </w:tcPr>
          <w:p>
            <w:pPr>
              <w:spacing w:after="20" w:line="240" w:lineRule="auto"/>
            </w:pPr>
            <w:r/>
            <w:r>
              <w:rPr>
                <w:b w:val="0"/>
                <w:sz w:val="17"/>
              </w:rPr>
              <w:t>Temporary injury managed by the user or patient</w:t>
            </w:r>
          </w:p>
        </w:tc>
      </w:tr>
      <w:tr>
        <w:trPr>
          <w:cantSplit w:val="true"/>
        </w:trPr>
        <w:tc>
          <w:tcPr>
            <w:tcW w:type="dxa" w:w="864"/>
            <w:shd w:val="clear" w:color="auto" w:fill="DCE6F1"/>
          </w:tcPr>
          <w:p>
            <w:pPr>
              <w:spacing w:after="20" w:line="240" w:lineRule="auto"/>
            </w:pPr>
            <w:r>
              <w:rPr>
                <w:b/>
              </w:rPr>
            </w:r>
            <w:r>
              <w:rPr>
                <w:b/>
                <w:sz w:val="17"/>
              </w:rPr>
              <w:t>S3</w:t>
            </w:r>
          </w:p>
        </w:tc>
        <w:tc>
          <w:tcPr>
            <w:tcW w:type="dxa" w:w="1728"/>
          </w:tcPr>
          <w:p>
            <w:pPr>
              <w:spacing w:after="20" w:line="240" w:lineRule="auto"/>
            </w:pPr>
            <w:r/>
            <w:r>
              <w:rPr>
                <w:b w:val="0"/>
                <w:sz w:val="17"/>
              </w:rPr>
              <w:t>Serious</w:t>
            </w:r>
          </w:p>
        </w:tc>
        <w:tc>
          <w:tcPr>
            <w:tcW w:type="dxa" w:w="6768"/>
          </w:tcPr>
          <w:p>
            <w:pPr>
              <w:spacing w:after="20" w:line="240" w:lineRule="auto"/>
            </w:pPr>
            <w:r/>
            <w:r>
              <w:rPr>
                <w:b w:val="0"/>
                <w:sz w:val="17"/>
              </w:rPr>
              <w:t>Injury needing professional medical intervention; reversible</w:t>
            </w:r>
          </w:p>
        </w:tc>
      </w:tr>
      <w:tr>
        <w:trPr>
          <w:cantSplit w:val="true"/>
        </w:trPr>
        <w:tc>
          <w:tcPr>
            <w:tcW w:type="dxa" w:w="864"/>
            <w:shd w:val="clear" w:color="auto" w:fill="DCE6F1"/>
          </w:tcPr>
          <w:p>
            <w:pPr>
              <w:spacing w:after="20" w:line="240" w:lineRule="auto"/>
            </w:pPr>
            <w:r>
              <w:rPr>
                <w:b/>
              </w:rPr>
            </w:r>
            <w:r>
              <w:rPr>
                <w:b/>
                <w:sz w:val="17"/>
              </w:rPr>
              <w:t>S4</w:t>
            </w:r>
          </w:p>
        </w:tc>
        <w:tc>
          <w:tcPr>
            <w:tcW w:type="dxa" w:w="1728"/>
          </w:tcPr>
          <w:p>
            <w:pPr>
              <w:spacing w:after="20" w:line="240" w:lineRule="auto"/>
            </w:pPr>
            <w:r/>
            <w:r>
              <w:rPr>
                <w:b w:val="0"/>
                <w:sz w:val="17"/>
              </w:rPr>
              <w:t>Critical</w:t>
            </w:r>
          </w:p>
        </w:tc>
        <w:tc>
          <w:tcPr>
            <w:tcW w:type="dxa" w:w="6768"/>
          </w:tcPr>
          <w:p>
            <w:pPr>
              <w:spacing w:after="20" w:line="240" w:lineRule="auto"/>
            </w:pPr>
            <w:r/>
            <w:r>
              <w:rPr>
                <w:b w:val="0"/>
                <w:sz w:val="17"/>
              </w:rPr>
              <w:t>Life-threatening injury, third-party rescue, hospitalization or permanent impairment</w:t>
            </w:r>
          </w:p>
        </w:tc>
      </w:tr>
      <w:tr>
        <w:trPr>
          <w:cantSplit w:val="true"/>
        </w:trPr>
        <w:tc>
          <w:tcPr>
            <w:tcW w:type="dxa" w:w="864"/>
            <w:shd w:val="clear" w:color="auto" w:fill="DCE6F1"/>
          </w:tcPr>
          <w:p>
            <w:pPr>
              <w:spacing w:after="20" w:line="240" w:lineRule="auto"/>
            </w:pPr>
            <w:r>
              <w:rPr>
                <w:b/>
              </w:rPr>
            </w:r>
            <w:r>
              <w:rPr>
                <w:b/>
                <w:sz w:val="17"/>
              </w:rPr>
              <w:t>S5</w:t>
            </w:r>
          </w:p>
        </w:tc>
        <w:tc>
          <w:tcPr>
            <w:tcW w:type="dxa" w:w="1728"/>
          </w:tcPr>
          <w:p>
            <w:pPr>
              <w:spacing w:after="20" w:line="240" w:lineRule="auto"/>
            </w:pPr>
            <w:r/>
            <w:r>
              <w:rPr>
                <w:b w:val="0"/>
                <w:sz w:val="17"/>
              </w:rPr>
              <w:t>Catastrophic</w:t>
            </w:r>
          </w:p>
        </w:tc>
        <w:tc>
          <w:tcPr>
            <w:tcW w:type="dxa" w:w="6768"/>
          </w:tcPr>
          <w:p>
            <w:pPr>
              <w:spacing w:after="20" w:line="240" w:lineRule="auto"/>
            </w:pPr>
            <w:r/>
            <w:r>
              <w:rPr>
                <w:b w:val="0"/>
                <w:sz w:val="17"/>
              </w:rPr>
              <w:t>Death</w:t>
            </w:r>
          </w:p>
        </w:tc>
      </w:tr>
    </w:tbl>
    <w:p>
      <w:pPr>
        <w:spacing w:after="160"/>
      </w:pPr>
      <w:r>
        <w:rPr>
          <w:i/>
          <w:color w:val="595959"/>
          <w:sz w:val="17"/>
        </w:rPr>
        <w:t>Table 18.2 — Illustrative company severity levels.</w:t>
      </w:r>
    </w:p>
    <w:p>
      <w:pPr>
        <w:pStyle w:val="Heading1"/>
        <w:pageBreakBefore/>
      </w:pPr>
      <w:r>
        <w:t>Example (fictional case)</w:t>
      </w:r>
    </w:p>
    <w:p>
      <w:r>
        <w:rPr>
          <w:b w:val="0"/>
          <w:i/>
          <w:color w:val="595959"/>
          <w:sz w:val="18"/>
        </w:rPr>
        <w:t>All names, numbers and events below are fictional composites from the book's case dossiers. They show the expected level of detail, not a regulatory standard. Glucalyn insulin pump, over-delivery on software v3.2 (data cut A, Year 2, month 9).</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6"/>
        <w:gridCol w:w="5903"/>
      </w:tblGrid>
      <w:tr>
        <w:trPr>
          <w:tblHeader w:val="true"/>
          <w:cantSplit w:val="true"/>
        </w:trPr>
        <w:tc>
          <w:tcPr>
            <w:tcW w:type="dxa" w:w="3456"/>
            <w:shd w:val="clear" w:color="auto" w:fill="17375E"/>
            <w:vAlign w:val="center"/>
          </w:tcPr>
          <w:p>
            <w:pPr>
              <w:spacing w:after="20" w:line="240" w:lineRule="auto"/>
            </w:pPr>
            <w:r>
              <w:rPr>
                <w:b/>
              </w:rPr>
            </w:r>
            <w:r>
              <w:rPr>
                <w:b/>
                <w:color w:val="FFFFFF"/>
                <w:sz w:val="18"/>
              </w:rPr>
              <w:t>Quantity</w:t>
            </w:r>
          </w:p>
        </w:tc>
        <w:tc>
          <w:tcPr>
            <w:tcW w:type="dxa" w:w="5904"/>
            <w:shd w:val="clear" w:color="auto" w:fill="17375E"/>
            <w:vAlign w:val="center"/>
          </w:tcPr>
          <w:p>
            <w:pPr>
              <w:spacing w:after="20" w:line="240" w:lineRule="auto"/>
            </w:pPr>
            <w:r>
              <w:rPr>
                <w:b/>
              </w:rPr>
            </w:r>
            <w:r>
              <w:rPr>
                <w:b/>
                <w:color w:val="FFFFFF"/>
                <w:sz w:val="18"/>
              </w:rPr>
              <w:t>Glucalyn value</w:t>
            </w:r>
          </w:p>
        </w:tc>
      </w:tr>
      <w:tr>
        <w:trPr>
          <w:cantSplit w:val="true"/>
        </w:trPr>
        <w:tc>
          <w:tcPr>
            <w:tcW w:type="dxa" w:w="3456"/>
            <w:shd w:val="clear" w:color="auto" w:fill="DCE6F1"/>
          </w:tcPr>
          <w:p>
            <w:pPr>
              <w:spacing w:after="20" w:line="240" w:lineRule="auto"/>
            </w:pPr>
            <w:r>
              <w:rPr>
                <w:b/>
              </w:rPr>
            </w:r>
            <w:r>
              <w:rPr>
                <w:b/>
                <w:sz w:val="18"/>
              </w:rPr>
              <w:t>Events with severe harm</w:t>
            </w:r>
          </w:p>
        </w:tc>
        <w:tc>
          <w:tcPr>
            <w:tcW w:type="dxa" w:w="5904"/>
          </w:tcPr>
          <w:p>
            <w:pPr>
              <w:spacing w:after="20" w:line="240" w:lineRule="auto"/>
            </w:pPr>
            <w:r/>
            <w:r>
              <w:rPr>
                <w:b w:val="0"/>
                <w:sz w:val="18"/>
              </w:rPr>
              <w:t>6, all on v3.2 (2 hospitalized; no deaths)</w:t>
            </w:r>
          </w:p>
        </w:tc>
      </w:tr>
      <w:tr>
        <w:trPr>
          <w:cantSplit w:val="true"/>
        </w:trPr>
        <w:tc>
          <w:tcPr>
            <w:tcW w:type="dxa" w:w="3456"/>
            <w:shd w:val="clear" w:color="auto" w:fill="DCE6F1"/>
          </w:tcPr>
          <w:p>
            <w:pPr>
              <w:spacing w:after="20" w:line="240" w:lineRule="auto"/>
            </w:pPr>
            <w:r>
              <w:rPr>
                <w:b/>
              </w:rPr>
            </w:r>
            <w:r>
              <w:rPr>
                <w:b/>
                <w:sz w:val="18"/>
              </w:rPr>
              <w:t>Exposure of the affected population</w:t>
            </w:r>
          </w:p>
        </w:tc>
        <w:tc>
          <w:tcPr>
            <w:tcW w:type="dxa" w:w="5904"/>
          </w:tcPr>
          <w:p>
            <w:pPr>
              <w:spacing w:after="20" w:line="240" w:lineRule="auto"/>
            </w:pPr>
            <w:r/>
            <w:r>
              <w:rPr>
                <w:b w:val="0"/>
                <w:sz w:val="18"/>
              </w:rPr>
              <w:t>12,000 pump-years on v3.2 (months 4–9)</w:t>
            </w:r>
          </w:p>
        </w:tc>
      </w:tr>
      <w:tr>
        <w:trPr>
          <w:cantSplit w:val="true"/>
        </w:trPr>
        <w:tc>
          <w:tcPr>
            <w:tcW w:type="dxa" w:w="3456"/>
            <w:shd w:val="clear" w:color="auto" w:fill="DCE6F1"/>
          </w:tcPr>
          <w:p>
            <w:pPr>
              <w:spacing w:after="20" w:line="240" w:lineRule="auto"/>
            </w:pPr>
            <w:r>
              <w:rPr>
                <w:b/>
              </w:rPr>
            </w:r>
            <w:r>
              <w:rPr>
                <w:b/>
                <w:sz w:val="18"/>
              </w:rPr>
              <w:t>Estimate</w:t>
            </w:r>
          </w:p>
        </w:tc>
        <w:tc>
          <w:tcPr>
            <w:tcW w:type="dxa" w:w="5904"/>
          </w:tcPr>
          <w:p>
            <w:pPr>
              <w:spacing w:after="20" w:line="240" w:lineRule="auto"/>
            </w:pPr>
            <w:r/>
            <w:r>
              <w:rPr>
                <w:b w:val="0"/>
                <w:sz w:val="18"/>
              </w:rPr>
              <w:t>6 ÷ 12,000 = 1 in 2,000 pump-years</w:t>
            </w:r>
          </w:p>
        </w:tc>
      </w:tr>
      <w:tr>
        <w:trPr>
          <w:cantSplit w:val="true"/>
        </w:trPr>
        <w:tc>
          <w:tcPr>
            <w:tcW w:type="dxa" w:w="3456"/>
            <w:shd w:val="clear" w:color="auto" w:fill="DCE6F1"/>
          </w:tcPr>
          <w:p>
            <w:pPr>
              <w:spacing w:after="20" w:line="240" w:lineRule="auto"/>
            </w:pPr>
            <w:r>
              <w:rPr>
                <w:b/>
              </w:rPr>
            </w:r>
            <w:r>
              <w:rPr>
                <w:b/>
                <w:sz w:val="18"/>
              </w:rPr>
              <w:t>Interval</w:t>
            </w:r>
          </w:p>
        </w:tc>
        <w:tc>
          <w:tcPr>
            <w:tcW w:type="dxa" w:w="5904"/>
          </w:tcPr>
          <w:p>
            <w:pPr>
              <w:spacing w:after="20" w:line="240" w:lineRule="auto"/>
            </w:pPr>
            <w:r/>
            <w:r>
              <w:rPr>
                <w:b w:val="0"/>
                <w:sz w:val="18"/>
              </w:rPr>
              <w:t>About 1 in 5,450 to 1 in 920</w:t>
            </w:r>
          </w:p>
        </w:tc>
      </w:tr>
      <w:tr>
        <w:trPr>
          <w:cantSplit w:val="true"/>
        </w:trPr>
        <w:tc>
          <w:tcPr>
            <w:tcW w:type="dxa" w:w="3456"/>
            <w:shd w:val="clear" w:color="auto" w:fill="DCE6F1"/>
          </w:tcPr>
          <w:p>
            <w:pPr>
              <w:spacing w:after="20" w:line="240" w:lineRule="auto"/>
            </w:pPr>
            <w:r>
              <w:rPr>
                <w:b/>
              </w:rPr>
            </w:r>
            <w:r>
              <w:rPr>
                <w:b/>
                <w:sz w:val="18"/>
              </w:rPr>
              <w:t>Risk file estimate before the signal</w:t>
            </w:r>
          </w:p>
        </w:tc>
        <w:tc>
          <w:tcPr>
            <w:tcW w:type="dxa" w:w="5904"/>
          </w:tcPr>
          <w:p>
            <w:pPr>
              <w:spacing w:after="20" w:line="240" w:lineRule="auto"/>
            </w:pPr>
            <w:r/>
            <w:r>
              <w:rPr>
                <w:b w:val="0"/>
                <w:sz w:val="18"/>
              </w:rPr>
              <w:t>1 in 20,000 pump-years</w:t>
            </w:r>
          </w:p>
        </w:tc>
      </w:tr>
    </w:tbl>
    <w:p>
      <w:pPr>
        <w:spacing w:after="0" w:before="0" w:line="80" w:lineRule="exact"/>
      </w:pPr>
      <w:r>
        <w:rPr>
          <w:sz w:val="8"/>
        </w:rPr>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872"/>
        <w:gridCol w:w="2160"/>
        <w:gridCol w:w="2736"/>
        <w:gridCol w:w="2592"/>
      </w:tblGrid>
      <w:tr>
        <w:trPr>
          <w:tblHeader w:val="true"/>
          <w:cantSplit w:val="true"/>
        </w:trPr>
        <w:tc>
          <w:tcPr>
            <w:tcW w:type="dxa" w:w="1872"/>
            <w:shd w:val="clear" w:color="auto" w:fill="17375E"/>
            <w:vAlign w:val="center"/>
          </w:tcPr>
          <w:p>
            <w:pPr>
              <w:spacing w:after="20" w:line="240" w:lineRule="auto"/>
            </w:pPr>
            <w:r>
              <w:rPr>
                <w:b/>
              </w:rPr>
            </w:r>
            <w:r>
              <w:rPr>
                <w:b/>
                <w:color w:val="FFFFFF"/>
                <w:sz w:val="18"/>
              </w:rPr>
              <w:t>Risk file field</w:t>
            </w:r>
          </w:p>
        </w:tc>
        <w:tc>
          <w:tcPr>
            <w:tcW w:type="dxa" w:w="2160"/>
            <w:shd w:val="clear" w:color="auto" w:fill="17375E"/>
            <w:vAlign w:val="center"/>
          </w:tcPr>
          <w:p>
            <w:pPr>
              <w:spacing w:after="20" w:line="240" w:lineRule="auto"/>
            </w:pPr>
            <w:r>
              <w:rPr>
                <w:b/>
              </w:rPr>
            </w:r>
            <w:r>
              <w:rPr>
                <w:b/>
                <w:color w:val="FFFFFF"/>
                <w:sz w:val="18"/>
              </w:rPr>
              <w:t>Before signal</w:t>
            </w:r>
          </w:p>
        </w:tc>
        <w:tc>
          <w:tcPr>
            <w:tcW w:type="dxa" w:w="2736"/>
            <w:shd w:val="clear" w:color="auto" w:fill="17375E"/>
            <w:vAlign w:val="center"/>
          </w:tcPr>
          <w:p>
            <w:pPr>
              <w:spacing w:after="20" w:line="240" w:lineRule="auto"/>
            </w:pPr>
            <w:r>
              <w:rPr>
                <w:b/>
              </w:rPr>
            </w:r>
            <w:r>
              <w:rPr>
                <w:b/>
                <w:color w:val="FFFFFF"/>
                <w:sz w:val="18"/>
              </w:rPr>
              <w:t>Interim (day 14–21)</w:t>
            </w:r>
          </w:p>
        </w:tc>
        <w:tc>
          <w:tcPr>
            <w:tcW w:type="dxa" w:w="2592"/>
            <w:shd w:val="clear" w:color="auto" w:fill="17375E"/>
            <w:vAlign w:val="center"/>
          </w:tcPr>
          <w:p>
            <w:pPr>
              <w:spacing w:after="20" w:line="240" w:lineRule="auto"/>
            </w:pPr>
            <w:r>
              <w:rPr>
                <w:b/>
              </w:rPr>
            </w:r>
            <w:r>
              <w:rPr>
                <w:b/>
                <w:color w:val="FFFFFF"/>
                <w:sz w:val="18"/>
              </w:rPr>
              <w:t>After patch (target)</w:t>
            </w:r>
          </w:p>
        </w:tc>
      </w:tr>
      <w:tr>
        <w:trPr>
          <w:cantSplit w:val="true"/>
        </w:trPr>
        <w:tc>
          <w:tcPr>
            <w:tcW w:type="dxa" w:w="1872"/>
            <w:shd w:val="clear" w:color="auto" w:fill="DCE6F1"/>
          </w:tcPr>
          <w:p>
            <w:pPr>
              <w:spacing w:after="20" w:line="240" w:lineRule="auto"/>
            </w:pPr>
            <w:r>
              <w:rPr>
                <w:b/>
              </w:rPr>
            </w:r>
            <w:r>
              <w:rPr>
                <w:b/>
                <w:sz w:val="18"/>
              </w:rPr>
              <w:t>Sequence of events</w:t>
            </w:r>
          </w:p>
        </w:tc>
        <w:tc>
          <w:tcPr>
            <w:tcW w:type="dxa" w:w="2160"/>
          </w:tcPr>
          <w:p>
            <w:pPr>
              <w:spacing w:after="20" w:line="240" w:lineRule="auto"/>
            </w:pPr>
            <w:r/>
            <w:r>
              <w:rPr>
                <w:b w:val="0"/>
                <w:sz w:val="18"/>
              </w:rPr>
              <w:t>Software timing fault (general)</w:t>
            </w:r>
          </w:p>
        </w:tc>
        <w:tc>
          <w:tcPr>
            <w:tcW w:type="dxa" w:w="2736"/>
          </w:tcPr>
          <w:p>
            <w:pPr>
              <w:spacing w:after="20" w:line="240" w:lineRule="auto"/>
            </w:pPr>
            <w:r/>
            <w:r>
              <w:rPr>
                <w:b w:val="0"/>
                <w:sz w:val="18"/>
              </w:rPr>
              <w:t>v3.2: alarm cleared with bolus pending; bolus delivered twice</w:t>
            </w:r>
          </w:p>
        </w:tc>
        <w:tc>
          <w:tcPr>
            <w:tcW w:type="dxa" w:w="2592"/>
          </w:tcPr>
          <w:p>
            <w:pPr>
              <w:spacing w:after="20" w:line="240" w:lineRule="auto"/>
            </w:pPr>
            <w:r/>
            <w:r>
              <w:rPr>
                <w:b w:val="0"/>
                <w:sz w:val="18"/>
              </w:rPr>
              <w:t>Same sequence; fault removed in v3.2.1</w:t>
            </w:r>
          </w:p>
        </w:tc>
      </w:tr>
      <w:tr>
        <w:trPr>
          <w:cantSplit w:val="true"/>
        </w:trPr>
        <w:tc>
          <w:tcPr>
            <w:tcW w:type="dxa" w:w="1872"/>
            <w:shd w:val="clear" w:color="auto" w:fill="DCE6F1"/>
          </w:tcPr>
          <w:p>
            <w:pPr>
              <w:spacing w:after="20" w:line="240" w:lineRule="auto"/>
            </w:pPr>
            <w:r>
              <w:rPr>
                <w:b/>
              </w:rPr>
            </w:r>
            <w:r>
              <w:rPr>
                <w:b/>
                <w:sz w:val="18"/>
              </w:rPr>
              <w:t>Severity</w:t>
            </w:r>
          </w:p>
        </w:tc>
        <w:tc>
          <w:tcPr>
            <w:tcW w:type="dxa" w:w="2160"/>
          </w:tcPr>
          <w:p>
            <w:pPr>
              <w:spacing w:after="20" w:line="240" w:lineRule="auto"/>
            </w:pPr>
            <w:r/>
            <w:r>
              <w:rPr>
                <w:b w:val="0"/>
                <w:sz w:val="18"/>
              </w:rPr>
              <w:t>S4</w:t>
            </w:r>
          </w:p>
        </w:tc>
        <w:tc>
          <w:tcPr>
            <w:tcW w:type="dxa" w:w="2736"/>
          </w:tcPr>
          <w:p>
            <w:pPr>
              <w:spacing w:after="20" w:line="240" w:lineRule="auto"/>
            </w:pPr>
            <w:r/>
            <w:r>
              <w:rPr>
                <w:b w:val="0"/>
                <w:sz w:val="18"/>
              </w:rPr>
              <w:t>S4 (reasoning recorded)</w:t>
            </w:r>
          </w:p>
        </w:tc>
        <w:tc>
          <w:tcPr>
            <w:tcW w:type="dxa" w:w="2592"/>
          </w:tcPr>
          <w:p>
            <w:pPr>
              <w:spacing w:after="20" w:line="240" w:lineRule="auto"/>
            </w:pPr>
            <w:r/>
            <w:r>
              <w:rPr>
                <w:b w:val="0"/>
                <w:sz w:val="18"/>
              </w:rPr>
              <w:t>S4</w:t>
            </w:r>
          </w:p>
        </w:tc>
      </w:tr>
      <w:tr>
        <w:trPr>
          <w:cantSplit w:val="true"/>
        </w:trPr>
        <w:tc>
          <w:tcPr>
            <w:tcW w:type="dxa" w:w="1872"/>
            <w:shd w:val="clear" w:color="auto" w:fill="DCE6F1"/>
          </w:tcPr>
          <w:p>
            <w:pPr>
              <w:spacing w:after="20" w:line="240" w:lineRule="auto"/>
            </w:pPr>
            <w:r>
              <w:rPr>
                <w:b/>
              </w:rPr>
            </w:r>
            <w:r>
              <w:rPr>
                <w:b/>
                <w:sz w:val="18"/>
              </w:rPr>
              <w:t>Probability of harm</w:t>
            </w:r>
          </w:p>
        </w:tc>
        <w:tc>
          <w:tcPr>
            <w:tcW w:type="dxa" w:w="2160"/>
          </w:tcPr>
          <w:p>
            <w:pPr>
              <w:spacing w:after="20" w:line="240" w:lineRule="auto"/>
            </w:pPr>
            <w:r/>
            <w:r>
              <w:rPr>
                <w:b w:val="0"/>
                <w:sz w:val="18"/>
              </w:rPr>
              <w:t>1 in 20,000 pump-years (P3)</w:t>
            </w:r>
          </w:p>
        </w:tc>
        <w:tc>
          <w:tcPr>
            <w:tcW w:type="dxa" w:w="2736"/>
          </w:tcPr>
          <w:p>
            <w:pPr>
              <w:spacing w:after="20" w:line="240" w:lineRule="auto"/>
            </w:pPr>
            <w:r/>
            <w:r>
              <w:rPr>
                <w:b w:val="0"/>
                <w:sz w:val="18"/>
              </w:rPr>
              <w:t>1 in 2,000 (P4); interval about 1 in 5,450 to 1 in 920</w:t>
            </w:r>
          </w:p>
        </w:tc>
        <w:tc>
          <w:tcPr>
            <w:tcW w:type="dxa" w:w="2592"/>
          </w:tcPr>
          <w:p>
            <w:pPr>
              <w:spacing w:after="20" w:line="240" w:lineRule="auto"/>
            </w:pPr>
            <w:r/>
            <w:r>
              <w:rPr>
                <w:b w:val="0"/>
                <w:sz w:val="18"/>
              </w:rPr>
              <w:t>1 in 200,000 or better (P2), verification target</w:t>
            </w:r>
          </w:p>
        </w:tc>
      </w:tr>
      <w:tr>
        <w:trPr>
          <w:cantSplit w:val="true"/>
        </w:trPr>
        <w:tc>
          <w:tcPr>
            <w:tcW w:type="dxa" w:w="1872"/>
            <w:shd w:val="clear" w:color="auto" w:fill="DCE6F1"/>
          </w:tcPr>
          <w:p>
            <w:pPr>
              <w:spacing w:after="20" w:line="240" w:lineRule="auto"/>
            </w:pPr>
            <w:r>
              <w:rPr>
                <w:b/>
              </w:rPr>
            </w:r>
            <w:r>
              <w:rPr>
                <w:b/>
                <w:sz w:val="18"/>
              </w:rPr>
              <w:t>Risk region</w:t>
            </w:r>
          </w:p>
        </w:tc>
        <w:tc>
          <w:tcPr>
            <w:tcW w:type="dxa" w:w="2160"/>
          </w:tcPr>
          <w:p>
            <w:pPr>
              <w:spacing w:after="20" w:line="240" w:lineRule="auto"/>
            </w:pPr>
            <w:r/>
            <w:r>
              <w:rPr>
                <w:b w:val="0"/>
                <w:sz w:val="18"/>
              </w:rPr>
              <w:t>ALARP region</w:t>
            </w:r>
          </w:p>
        </w:tc>
        <w:tc>
          <w:tcPr>
            <w:tcW w:type="dxa" w:w="2736"/>
          </w:tcPr>
          <w:p>
            <w:pPr>
              <w:spacing w:after="20" w:line="240" w:lineRule="auto"/>
            </w:pPr>
            <w:r/>
            <w:r>
              <w:rPr>
                <w:b w:val="0"/>
                <w:sz w:val="18"/>
              </w:rPr>
              <w:t>Unacceptable</w:t>
            </w:r>
          </w:p>
        </w:tc>
        <w:tc>
          <w:tcPr>
            <w:tcW w:type="dxa" w:w="2592"/>
          </w:tcPr>
          <w:p>
            <w:pPr>
              <w:spacing w:after="20" w:line="240" w:lineRule="auto"/>
            </w:pPr>
            <w:r/>
            <w:r>
              <w:rPr>
                <w:b w:val="0"/>
                <w:sz w:val="18"/>
              </w:rPr>
              <w:t>ALARP region, once verified</w:t>
            </w:r>
          </w:p>
        </w:tc>
      </w:tr>
      <w:tr>
        <w:trPr>
          <w:cantSplit w:val="true"/>
        </w:trPr>
        <w:tc>
          <w:tcPr>
            <w:tcW w:type="dxa" w:w="1872"/>
            <w:shd w:val="clear" w:color="auto" w:fill="DCE6F1"/>
          </w:tcPr>
          <w:p>
            <w:pPr>
              <w:spacing w:after="20" w:line="240" w:lineRule="auto"/>
            </w:pPr>
            <w:r>
              <w:rPr>
                <w:b/>
              </w:rPr>
            </w:r>
            <w:r>
              <w:rPr>
                <w:b/>
                <w:sz w:val="18"/>
              </w:rPr>
              <w:t>Controls and evidence</w:t>
            </w:r>
          </w:p>
        </w:tc>
        <w:tc>
          <w:tcPr>
            <w:tcW w:type="dxa" w:w="2160"/>
          </w:tcPr>
          <w:p>
            <w:pPr>
              <w:spacing w:after="20" w:line="240" w:lineRule="auto"/>
            </w:pPr>
            <w:r/>
            <w:r>
              <w:rPr>
                <w:b w:val="0"/>
                <w:sz w:val="18"/>
              </w:rPr>
              <w:t>Software verification of v3.2</w:t>
            </w:r>
          </w:p>
        </w:tc>
        <w:tc>
          <w:tcPr>
            <w:tcW w:type="dxa" w:w="2736"/>
          </w:tcPr>
          <w:p>
            <w:pPr>
              <w:spacing w:after="20" w:line="240" w:lineRule="auto"/>
            </w:pPr>
            <w:r/>
            <w:r>
              <w:rPr>
                <w:b w:val="0"/>
                <w:sz w:val="18"/>
              </w:rPr>
              <w:t>FSCA; field safety notice with interim instruction (no credit)</w:t>
            </w:r>
          </w:p>
        </w:tc>
        <w:tc>
          <w:tcPr>
            <w:tcW w:type="dxa" w:w="2592"/>
          </w:tcPr>
          <w:p>
            <w:pPr>
              <w:spacing w:after="20" w:line="240" w:lineRule="auto"/>
            </w:pPr>
            <w:r/>
            <w:r>
              <w:rPr>
                <w:b w:val="0"/>
                <w:sz w:val="18"/>
              </w:rPr>
              <w:t>Timing fix plus independent volume check; verification report; field monitoring</w:t>
            </w:r>
          </w:p>
        </w:tc>
      </w:tr>
    </w:tbl>
    <w:p>
      <w:pPr>
        <w:spacing w:after="160"/>
      </w:pPr>
      <w:r>
        <w:rPr>
          <w:i/>
          <w:color w:val="595959"/>
          <w:sz w:val="17"/>
        </w:rPr>
        <w:t>Table 18.3 — T-16 risk file update worksheet for Glucalyn over-delivery (illustrative).</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A6A6A6"/>
      </w:pBdr>
    </w:pPr>
    <w:r/>
    <w:r>
      <w:rPr>
        <w:i/>
        <w:color w:val="595959"/>
        <w:sz w:val="16"/>
      </w:rPr>
      <w:t>Educational template — adapt to your quality system. Not a regulatory requirement.</w:t>
    </w:r>
  </w:p>
  <w:p>
    <w:r>
      <w:rPr>
        <w:color w:val="595959"/>
        <w:sz w:val="16"/>
      </w:rPr>
      <w:t xml:space="preserve">© 2026 Selim Medical Press · Tool T-16 · Page </w:t>
    </w:r>
    <w:r>
      <w:rPr>
        <w:color w:val="595959"/>
        <w:sz w:val="16"/>
      </w:rPr>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pPr>
    <w:r/>
    <w:r>
      <w:rPr>
        <w:rFonts w:ascii="Calibri" w:hAnsi="Calibri"/>
        <w:color w:val="595959"/>
        <w:sz w:val="17"/>
      </w:rPr>
      <w:t>Selim Medical Press · Signal Management in Medical Device Vigilance · Tool T-16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cs="Cambria" w:eastAsia="Cambria"/>
      <w:b/>
      <w:bCs/>
      <w:color w:val="17375E"/>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mbria" w:hAnsi="Cambria" w:cs="Cambria" w:eastAsia="Cambria"/>
      <w:b/>
      <w:bCs/>
      <w:color w:val="17375E"/>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mbria" w:hAnsi="Cambria" w:cs="Cambria" w:eastAsia="Cambria"/>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Cambria" w:hAnsi="Cambria" w:cs="Cambria" w:eastAsia="Cambria"/>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T-16 — Risk Management File Update Worksheet</dc:title>
  <dc:subject>Signal Management in Medical Device Vigilance — companion toolkit</dc:subject>
  <dc:creator>Dr. Hafez Selim, MD, PhD</dc:creator>
  <cp:keywords>device vigilance; signal management; toolkit</cp:keywords>
  <dc:description>Selim Medical Press © 2026. Educational template.</dc:description>
  <cp:lastModifiedBy/>
  <cp:revision>1</cp:revision>
  <dcterms:created xsi:type="dcterms:W3CDTF">2013-12-23T23:15:00Z</dcterms:created>
  <dcterms:modified xsi:type="dcterms:W3CDTF">2013-12-23T23:15:00Z</dcterms:modified>
  <cp:category/>
</cp:coreProperties>
</file>