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T-17</w:t>
      </w:r>
    </w:p>
    <w:p>
      <w:pPr>
        <w:pStyle w:val="Title"/>
      </w:pPr>
      <w:r>
        <w:t>Action-Selection Matrix and FSCA Decision Record</w:t>
      </w:r>
    </w:p>
    <w:p>
      <w:r>
        <w:rPr>
          <w:i/>
          <w:color w:val="595959"/>
          <w:sz w:val="21"/>
        </w:rPr>
        <w:t>Part A: grade the factors and choose actions across the ladder · Part B: document one decision so an auditor can follow it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Part A grades evidence strength, severity, exposure, preventability and alternatives, and maps the pattern to the rungs of the action ladder (a company example). Part B documents one decision — scope, rejected options, effectiveness criteria, owners, dates, notifications and record links.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When an assessed signal needs an action decision, including interim containment before the root cause is known.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19, Selecting the Action — section 19.5 (Tables 19.1 and 19.2).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/ lots / versions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Prepared by / 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Action-selection matrix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2304"/>
        <w:gridCol w:w="2592"/>
        <w:gridCol w:w="2447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Lower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Higher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Grade and evidence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Evidence strength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Alert or unconfirmed pattern; cause unknown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Confirmed signal; cause identified; bench reproduction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Reversible, minor harm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Serious, irreversible or life-threatening harm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Exposure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Few units; affected stock consumed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Wide distribution; affected configuration still in use or shipping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Preventability by users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User can detect and avoid the failure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User cannot detect or avoid it; instructions add little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Alternatives and cost of the action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 alternative; action itself harms patients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Unaffected lots, versions or devices available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Mapping to the ladder (company example)</w:t>
      </w:r>
    </w:p>
    <w:p>
      <w:r>
        <w:rPr>
          <w:b w:val="0"/>
        </w:rPr>
        <w:t>A signal enters at the rung the evidence supports; it does not climb one rung at a time, and actions from several rungs often run together.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20"/>
        <w:gridCol w:w="2736"/>
        <w:gridCol w:w="4464"/>
        <w:gridCol w:w="1440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Rung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46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Typical pattern (company example)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Selected? (Y/N)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Routine monitoring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Weak evidence, low severity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2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Enhanced monitoring and targeted evidence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Evidence not yet strong enough for a field action; give it a question, an end date and a decision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Information updates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Cause lies in use and the design cannot reasonably enforce safe use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Field safety notice with interim instructions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Users can reduce harm while a permanent fix is prepared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Correction on site or by software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Defined fix can be applied to distributed devices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Removal or recall of a defined scope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Confirmed defect in defined lots or versions; users cannot prevent the failure; alternatives exist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7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Market withdrawal or suspension</w:t>
            </w:r>
          </w:p>
        </w:tc>
        <w:tc>
          <w:tcPr>
            <w:tcW w:type="dxa" w:w="446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Unacceptable risk across the product with no adequate fix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Actions by class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2736"/>
        <w:gridCol w:w="2447"/>
        <w:gridCol w:w="2160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What it prevents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Evidence-generating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Design / process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Information and training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Risk file / monitoring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Base scope on the cause, not on the complaints: a lot with no complaints yet may still carry the defect. For implants, scope also covers patients who already have the device.</w:t>
      </w:r>
    </w:p>
    <w:p>
      <w:pPr>
        <w:pStyle w:val="Heading1"/>
      </w:pPr>
      <w:r>
        <w:t>Part B — FSCA decision record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5903"/>
      </w:tblGrid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and evidence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Harm and exposure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and scope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Interim action, permanent action and handover between them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Patients already treated (advisory needed? reasoning)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Options rejected, with reasons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Effectiveness — execution criterion (units found, retrieved or corrected; consignee acknowledgment)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Effectiveness — outcome criterion (event rate set in advance) and review date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20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Links: signal record, trend report, risk file revision, CAPA number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Regulatory notifications made before the action starts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92"/>
        <w:gridCol w:w="3312"/>
        <w:gridCol w:w="1584"/>
        <w:gridCol w:w="1872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Authority / jurisdiction</w:t>
            </w:r>
          </w:p>
        </w:tc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Notification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 sent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Logged by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MDR: an FSCA is reported before it is undertaken, except in urgent cases, and communicated through a field safety notice. Great Britain: the proposed notice goes to MHRA before customers. US: a correction or removal to reduce a risk to health is reported within 10 working days of starting it (21 CFR Part 806); recalls are classified under Part 7.</w:t>
      </w:r>
    </w:p>
    <w:p>
      <w:pPr>
        <w:pStyle w:val="Heading3"/>
      </w:pPr>
      <w:r>
        <w:t>Decision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2304"/>
        <w:gridCol w:w="1440"/>
        <w:gridCol w:w="2736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Decision-maker (name, role)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Review board minute reference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Suturex circular stapler, data cut Year 4, month 4.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70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Suturex grading (Chapter 19, Step 2)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strength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Trend significant under the PMS plan rule; 61 confirmed misfires, 44 from lots SX-2310 onward; cause is the anvil-spring supplier change — confirmed, supplier-related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 anastomotic leaks needing reoperation: serious, not reversible without surgery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Exposure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50,000 units sold each month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Preventability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 surgeon cannot detect a weak spring before firing, so instructions cannot prevent the failure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Alternatives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Cartridges from earlier lots and from the corrected supply perform at the labeled rate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2736"/>
        <w:gridCol w:w="2447"/>
        <w:gridCol w:w="2304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What it prevents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FSCA with recall and quarantine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Use of defective cartridges already distributed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Lots SX-2310 to SX-2404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Field / information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Field safety notice to surgical teams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Use of stock before retrieval; missed leak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All consignees of those lots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Design / process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Reverse the anvil-spring supplier change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New defective lots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All future production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Process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CAPA with effectiveness criterion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Recurrence through supplier control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Supplier qualification and incoming inspection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Risk file / monitoring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Raise misfire severity to include leak; continue p-chart</w:t>
            </w:r>
          </w:p>
        </w:tc>
        <w:tc>
          <w:tcPr>
            <w:tcW w:type="dxa" w:w="244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Understated risk; missed recurrence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Whole product line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19.1 — Suturex actions by class, data cut Year 4, month 4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36"/>
        <w:gridCol w:w="6623"/>
      </w:tblGrid>
      <w:tr>
        <w:trPr>
          <w:tblHeader w:val="true"/>
          <w:cantSplit w:val="true"/>
        </w:trPr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6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and evidence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Confirmed, supplier-related; 44 of 61 confirmed misfires from SX-2310 onward; Article 88 trend report filed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Harm and exposure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 anastomotic leaks with reoperation among 180 events; 50,000 units a month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and scope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FSCA and recall of lots SX-2310 to SX-2404; field safety notice to surgical teams; supplier change reversed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Options rejected, with reasons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Reminder letter alone (cause not in user control); reversal without field action (stock stays in use); withdrawal (other lots at labeled rate)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Effectiveness and review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Rate below 0.48 per 1,000 for three consecutive months; full lot reconciliation; review after three months of reversed-supply data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19.2 — T-17 FSCA decision record for Suturex, partly completed (illustrative).</w:t>
      </w:r>
    </w:p>
    <w:p>
      <w:r>
        <w:rPr>
          <w:b w:val="0"/>
          <w:i/>
          <w:color w:val="595959"/>
          <w:sz w:val="18"/>
        </w:rPr>
        <w:t>Patients already treated: single-use device, so no device remains in patients; the notice reminds teams of the leak finding and no separate patient advisory is issued, with the reasoning recorded. The 0.48 per 1,000 criterion means fewer than 24 misfires a month at 50,000 units — stricter than returning inside the 2σ limit of 28.9. The record also needs the decision-maker, the date, the notifications made before the action starts, and the links to the CAPA and the risk file revision.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T-17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T-17 — Action-Selection Matrix and FSCA Decision Record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