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T-18</w:t>
      </w:r>
    </w:p>
    <w:p>
      <w:pPr>
        <w:pStyle w:val="Title"/>
      </w:pPr>
      <w:r>
        <w:t>Device Benefit–Risk Worksheet</w:t>
      </w:r>
    </w:p>
    <w:p>
      <w:r>
        <w:rPr>
          <w:i/>
          <w:color w:val="595959"/>
          <w:sz w:val="21"/>
        </w:rPr>
        <w:t>Effects, patient groups, subgroups and value judgments — in a form the board can sign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Part A lists favorable and unfavorable effects with frequency, comparator, uncertainty and burden. Part B separates implanted patients from future patients. Part C covers subgroups. Part D records the value judgments and their owners. An optional quantitative appendix holds the per-10,000 conversion, the uncertainty bracket and the break-even weight.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When a confirmed or likely signal changes the balance for a device or a configuration; when new data arrive, reopen the worksheet rather than rewrite it — the new version cites the old one and shows which judgments changed.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20, Benefit–Risk for Devices — section 20.5 (Tables 20.1 and 20.2).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/ configuration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record ID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Data cut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Worksheet version (supersedes)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A — Effects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1440"/>
        <w:gridCol w:w="1440"/>
        <w:gridCol w:w="1296"/>
        <w:gridCol w:w="2880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Effect (favorable / unfavorable)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Comparators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Per 10,000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Uncertainty, burden and notes</w:t>
            </w:r>
          </w:p>
        </w:tc>
      </w:tr>
      <w:tr>
        <w:trPr>
          <w:cantSplit w:val="true"/>
          <w:trHeight w:val="576" w:hRule="atLeast"/>
        </w:trPr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Parts B and C — Patient groups and subgroups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592"/>
        <w:gridCol w:w="2304"/>
        <w:gridCol w:w="2304"/>
        <w:gridCol w:w="2160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Balance on current evidence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 still needed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Future patients — affected configuration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Future patients — other configurations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Implanted / already treated patients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Subgroup: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Subgroup: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D — Value judgments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896"/>
        <w:gridCol w:w="1728"/>
        <w:gridCol w:w="1584"/>
        <w:gridCol w:w="1152"/>
      </w:tblGrid>
      <w:tr>
        <w:trPr>
          <w:tblHeader w:val="true"/>
          <w:cantSplit w:val="true"/>
        </w:trPr>
        <w:tc>
          <w:tcPr>
            <w:tcW w:type="dxa" w:w="48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Judgment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  <w:trHeight w:val="576" w:hRule="atLeast"/>
        </w:trPr>
        <w:tc>
          <w:tcPr>
            <w:tcW w:type="dxa" w:w="48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48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48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48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Appendix — Quantitative (optional)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024"/>
        <w:gridCol w:w="4320"/>
        <w:gridCol w:w="2015"/>
      </w:tblGrid>
      <w:tr>
        <w:trPr>
          <w:tblHeader w:val="true"/>
          <w:cantSplit w:val="true"/>
        </w:trPr>
        <w:tc>
          <w:tcPr>
            <w:tcW w:type="dxa" w:w="30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2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Unfavorable events added per 10,000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(device rate − comparator rate) × 10,000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Favorable events prevented per 10,000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(comparator rate − device rate) × 10,000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Rough uncertainty bracket (not a formal interval for the difference)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Low: device lower limit − comparator upper limit; High: device upper limit − comparator lower limit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Break-even weight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Events added ÷ events prevented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Reverse check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Events prevented ÷ events added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Do not net the two counts into one number; show them side by side, and decide by group.</w:t>
      </w:r>
    </w:p>
    <w:p>
      <w:pPr>
        <w:pStyle w:val="Heading3"/>
      </w:pPr>
      <w:r>
        <w:t>Sign-off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Review board chair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Clinical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owner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Tessora hip, Year 6 registry report.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59"/>
        <w:gridCol w:w="1727"/>
        <w:gridCol w:w="1727"/>
        <w:gridCol w:w="1295"/>
        <w:gridCol w:w="2447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Tessora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Comparators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Per 10,000</w:t>
            </w:r>
          </w:p>
        </w:tc>
        <w:tc>
          <w:tcPr>
            <w:tcW w:type="dxa" w:w="244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Uncertainty and notes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Dislocation at 5 years (favorable)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0.8%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1.5%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70 prevented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 interval given; overlaps with revision count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Revision at 5 years (unfavorable)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4.1% (3.3–5.1)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2.4% (2.2–2.6)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170 added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Rough bracket 70–290; O/E 1.85 (1.36–2.45)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Liner dissociation (unfavorable)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21 of 48 revisions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Not estimated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17 of 21 in size 52–54, made after Year 3, month 4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Burden of each event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Revision: major reoperation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Dislocation: often closed reduction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Not netted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Break-even weight 2.4 revisions per dislocation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20.1 — Tessora structured benefit–risk summary (Part A, 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592"/>
        <w:gridCol w:w="2304"/>
        <w:gridCol w:w="2304"/>
        <w:gridCol w:w="2160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Balance on current evidence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 still needed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Future patients, size 52–54, affected period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Unfavorable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Quarantine under FSCA; CAPA on tolerance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Confirm the CAPA restores performance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Future patients, other configurations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Uncertain; not shown to be unfavorable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Continue; review O/E at each annual report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Revision by size and period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Implanted patients, any size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Revision burden outweighs a prophylactic benefit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 prophylactic revision; radiographs at next visit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Registry follow-up of affected sizes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Older, low-demand patients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Benefit and burden both larger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Surgeon judgment with the patient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Age-specific registry data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20.2 — T-18 Parts B and C for Tessora, partly completed (illustrative).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23"/>
        <w:gridCol w:w="2736"/>
      </w:tblGrid>
      <w:tr>
        <w:trPr>
          <w:tblHeader w:val="true"/>
          <w:cantSplit w:val="true"/>
        </w:trPr>
        <w:tc>
          <w:tcPr>
            <w:tcW w:type="dxa" w:w="66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Part D judgment (Tessora)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 revision weighs more than a dislocation.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Board chair (signed)</w:t>
            </w:r>
          </w:p>
        </w:tc>
      </w:tr>
      <w:tr>
        <w:trPr>
          <w:cantSplit w:val="true"/>
        </w:trPr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The aggregate figure does not decide the fate of unaffected sizes.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Board chair (signed)</w:t>
            </w:r>
          </w:p>
        </w:tc>
      </w:tr>
      <w:tr>
        <w:trPr>
          <w:cantSplit w:val="true"/>
        </w:trPr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Patients already implanted should not be exposed to surgery for a risk most of them will never meet.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Board chair (signed)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024"/>
        <w:gridCol w:w="6336"/>
      </w:tblGrid>
      <w:tr>
        <w:trPr>
          <w:tblHeader w:val="true"/>
          <w:cantSplit w:val="true"/>
        </w:trPr>
        <w:tc>
          <w:tcPr>
            <w:tcW w:type="dxa" w:w="30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3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Tessora calculation</w:t>
            </w:r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Revisions added per 10,000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(4.1% − 2.4%) × 10,000 = 170</w:t>
            </w:r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Dislocations prevented per 10,000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(1.5% − 0.8%) × 10,000 = 70</w:t>
            </w:r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Rough bracket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3.3 − 2.6 = 0.7 points (70) to 5.1 − 2.2 = 2.9 points (290)</w:t>
            </w:r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Break-even weight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170 ÷ 70 = 2.4 revisions per dislocation</w:t>
            </w:r>
          </w:p>
        </w:tc>
      </w:tr>
      <w:tr>
        <w:trPr>
          <w:cantSplit w:val="true"/>
        </w:trPr>
        <w:tc>
          <w:tcPr>
            <w:tcW w:type="dxa" w:w="302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Reverse check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Balance favors Tessora only if a revision counted for less than 70 ÷ 170 = 0.41 of a dislocation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Quantitative appendix, Chapter 20, Steps 1–4.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T-18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T-18 — Device Benefit–Risk Worksheet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