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7375E"/>
          <w:sz w:val="18"/>
        </w:rPr>
        <w:t>COMPANION TOOLKIT · TOOL T-19</w:t>
      </w:r>
    </w:p>
    <w:p>
      <w:pPr>
        <w:pStyle w:val="Title"/>
      </w:pPr>
      <w:r>
        <w:t>Field Safety Notice Checklist</w:t>
      </w:r>
    </w:p>
    <w:p>
      <w:r>
        <w:rPr>
          <w:i/>
          <w:color w:val="595959"/>
          <w:sz w:val="21"/>
        </w:rPr>
        <w:t>Content, order, language, regulatory sequence and follow-up — checked on every draft from first version to issue</w:t>
      </w:r>
    </w:p>
    <w:p>
      <w:pPr>
        <w:pBdr>
          <w:bottom w:val="single" w:sz="6" w:space="1" w:color="17375E"/>
        </w:pBdr>
        <w:spacing w:after="160"/>
      </w:pPr>
      <w:r>
        <w:rPr>
          <w:color w:val="595959"/>
          <w:sz w:val="17"/>
        </w:rPr>
        <w:t>Signal Management in Medical Device Vigilance · Dr. Hafez Selim, MD, PhD · Selim Medical Press · © 2026</w:t>
      </w:r>
    </w:p>
    <w:tbl>
      <w:tblPr>
        <w:tblW w:type="dxa" w:w="936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2160"/>
        <w:gridCol w:w="7200"/>
      </w:tblGrid>
      <w:tr>
        <w:tc>
          <w:tcPr>
            <w:tcW w:type="dxa" w:w="2160"/>
            <w:shd w:val="clear" w:color="auto" w:fill="DCE6F1"/>
          </w:tcPr>
          <w:p>
            <w:r/>
            <w:r>
              <w:rPr>
                <w:b/>
                <w:color w:val="17375E"/>
              </w:rPr>
              <w:t>Purpose</w:t>
            </w:r>
          </w:p>
        </w:tc>
        <w:tc>
          <w:tcPr>
            <w:tcW w:type="dxa" w:w="7200"/>
          </w:tcPr>
          <w:p>
            <w:pPr>
              <w:spacing w:after="20" w:line="240" w:lineRule="auto"/>
            </w:pPr>
            <w:r/>
            <w:r>
              <w:rPr>
                <w:b w:val="0"/>
              </w:rPr>
              <w:t>Checks a field safety notice draft by draft, so that readers can tell within the first lines whether they are affected and what to do. Includes an audience plan, the recommended section order and a plain-language rewrite exercise.</w:t>
            </w:r>
          </w:p>
        </w:tc>
      </w:tr>
      <w:tr>
        <w:tc>
          <w:tcPr>
            <w:tcW w:type="dxa" w:w="2160"/>
            <w:shd w:val="clear" w:color="auto" w:fill="DCE6F1"/>
          </w:tcPr>
          <w:p>
            <w:r/>
            <w:r>
              <w:rPr>
                <w:b/>
                <w:color w:val="17375E"/>
              </w:rPr>
              <w:t>When to use</w:t>
            </w:r>
          </w:p>
        </w:tc>
        <w:tc>
          <w:tcPr>
            <w:tcW w:type="dxa" w:w="7200"/>
          </w:tcPr>
          <w:p>
            <w:pPr>
              <w:spacing w:after="20" w:line="240" w:lineRule="auto"/>
            </w:pPr>
            <w:r/>
            <w:r>
              <w:rPr>
                <w:b w:val="0"/>
              </w:rPr>
              <w:t>On every draft of a field safety notice or advisory, from first version to issue. File the completed checklist with the FSCA decision record (Tool T-17).</w:t>
            </w:r>
          </w:p>
        </w:tc>
      </w:tr>
      <w:tr>
        <w:tc>
          <w:tcPr>
            <w:tcW w:type="dxa" w:w="2160"/>
            <w:shd w:val="clear" w:color="auto" w:fill="DCE6F1"/>
          </w:tcPr>
          <w:p>
            <w:r/>
            <w:r>
              <w:rPr>
                <w:b/>
                <w:color w:val="17375E"/>
              </w:rPr>
              <w:t>Chapter reference</w:t>
            </w:r>
          </w:p>
        </w:tc>
        <w:tc>
          <w:tcPr>
            <w:tcW w:type="dxa" w:w="7200"/>
          </w:tcPr>
          <w:p>
            <w:pPr>
              <w:spacing w:after="20" w:line="240" w:lineRule="auto"/>
            </w:pPr>
            <w:r/>
            <w:r>
              <w:rPr>
                <w:b w:val="0"/>
              </w:rPr>
              <w:t>Chapter 21, Communicating Device Signals — section 21.5 (Tables 21.1–21.3).</w:t>
            </w:r>
          </w:p>
        </w:tc>
      </w:tr>
    </w:tbl>
    <w:p>
      <w:pPr>
        <w:spacing w:after="0" w:before="0" w:line="80" w:lineRule="exact"/>
      </w:pPr>
      <w:r>
        <w:rPr>
          <w:sz w:val="8"/>
        </w:rPr>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304"/>
        <w:gridCol w:w="2376"/>
        <w:gridCol w:w="2304"/>
        <w:gridCol w:w="2376"/>
      </w:tblGrid>
      <w:tr>
        <w:trPr>
          <w:trHeight w:val="432" w:hRule="atLeast"/>
        </w:trPr>
        <w:tc>
          <w:tcPr>
            <w:tcW w:type="dxa" w:w="2304"/>
            <w:shd w:val="clear" w:color="auto" w:fill="DCE6F1"/>
          </w:tcPr>
          <w:p>
            <w:pPr>
              <w:spacing w:after="20" w:line="240" w:lineRule="auto"/>
            </w:pPr>
            <w:r>
              <w:rPr>
                <w:b/>
              </w:rPr>
            </w:r>
            <w:r>
              <w:rPr>
                <w:b/>
                <w:sz w:val="18"/>
              </w:rPr>
              <w:t>Device / versions / lots</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FSCA reference</w:t>
            </w:r>
          </w:p>
        </w:tc>
        <w:tc>
          <w:tcPr>
            <w:tcW w:type="dxa" w:w="2376"/>
          </w:tcPr>
          <w:p>
            <w:pPr>
              <w:spacing w:after="20" w:line="240" w:lineRule="auto"/>
            </w:pPr>
            <w:r/>
          </w:p>
        </w:tc>
      </w:tr>
      <w:tr>
        <w:trPr>
          <w:trHeight w:val="432" w:hRule="atLeast"/>
        </w:trPr>
        <w:tc>
          <w:tcPr>
            <w:tcW w:type="dxa" w:w="2304"/>
            <w:shd w:val="clear" w:color="auto" w:fill="DCE6F1"/>
          </w:tcPr>
          <w:p>
            <w:pPr>
              <w:spacing w:after="20" w:line="240" w:lineRule="auto"/>
            </w:pPr>
            <w:r>
              <w:rPr>
                <w:b/>
              </w:rPr>
            </w:r>
            <w:r>
              <w:rPr>
                <w:b/>
                <w:sz w:val="18"/>
              </w:rPr>
              <w:t>Draft versions checked</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Checklist owner</w:t>
            </w:r>
          </w:p>
        </w:tc>
        <w:tc>
          <w:tcPr>
            <w:tcW w:type="dxa" w:w="2376"/>
          </w:tcPr>
          <w:p>
            <w:pPr>
              <w:spacing w:after="20" w:line="240" w:lineRule="auto"/>
            </w:pPr>
            <w:r/>
          </w:p>
        </w:tc>
      </w:tr>
    </w:tbl>
    <w:p>
      <w:pPr>
        <w:spacing w:after="0" w:before="0" w:line="80" w:lineRule="exact"/>
      </w:pPr>
      <w:r>
        <w:rPr>
          <w:sz w:val="8"/>
        </w:rPr>
      </w:r>
    </w:p>
    <w:p>
      <w:pPr>
        <w:pStyle w:val="Heading1"/>
      </w:pPr>
      <w:r>
        <w:t>Part 1 — Audiences and routes</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304"/>
        <w:gridCol w:w="2304"/>
        <w:gridCol w:w="1872"/>
        <w:gridCol w:w="1440"/>
        <w:gridCol w:w="1440"/>
      </w:tblGrid>
      <w:tr>
        <w:trPr>
          <w:tblHeader w:val="true"/>
          <w:cantSplit w:val="true"/>
        </w:trPr>
        <w:tc>
          <w:tcPr>
            <w:tcW w:type="dxa" w:w="2304"/>
            <w:shd w:val="clear" w:color="auto" w:fill="17375E"/>
            <w:vAlign w:val="center"/>
          </w:tcPr>
          <w:p>
            <w:pPr>
              <w:spacing w:after="20" w:line="240" w:lineRule="auto"/>
            </w:pPr>
            <w:r>
              <w:rPr>
                <w:b/>
              </w:rPr>
            </w:r>
            <w:r>
              <w:rPr>
                <w:b/>
                <w:color w:val="FFFFFF"/>
                <w:sz w:val="18"/>
              </w:rPr>
              <w:t>Audience</w:t>
            </w:r>
          </w:p>
        </w:tc>
        <w:tc>
          <w:tcPr>
            <w:tcW w:type="dxa" w:w="2304"/>
            <w:shd w:val="clear" w:color="auto" w:fill="17375E"/>
            <w:vAlign w:val="center"/>
          </w:tcPr>
          <w:p>
            <w:pPr>
              <w:spacing w:after="20" w:line="240" w:lineRule="auto"/>
            </w:pPr>
            <w:r>
              <w:rPr>
                <w:b/>
              </w:rPr>
            </w:r>
            <w:r>
              <w:rPr>
                <w:b/>
                <w:color w:val="FFFFFF"/>
                <w:sz w:val="18"/>
              </w:rPr>
              <w:t>What they need first</w:t>
            </w:r>
          </w:p>
        </w:tc>
        <w:tc>
          <w:tcPr>
            <w:tcW w:type="dxa" w:w="1872"/>
            <w:shd w:val="clear" w:color="auto" w:fill="17375E"/>
            <w:vAlign w:val="center"/>
          </w:tcPr>
          <w:p>
            <w:pPr>
              <w:spacing w:after="20" w:line="240" w:lineRule="auto"/>
            </w:pPr>
            <w:r>
              <w:rPr>
                <w:b/>
              </w:rPr>
            </w:r>
            <w:r>
              <w:rPr>
                <w:b/>
                <w:color w:val="FFFFFF"/>
                <w:sz w:val="18"/>
              </w:rPr>
              <w:t>Route</w:t>
            </w:r>
          </w:p>
        </w:tc>
        <w:tc>
          <w:tcPr>
            <w:tcW w:type="dxa" w:w="1440"/>
            <w:shd w:val="clear" w:color="auto" w:fill="17375E"/>
            <w:vAlign w:val="center"/>
          </w:tcPr>
          <w:p>
            <w:pPr>
              <w:spacing w:after="20" w:line="240" w:lineRule="auto"/>
            </w:pPr>
            <w:r>
              <w:rPr>
                <w:b/>
              </w:rPr>
            </w:r>
            <w:r>
              <w:rPr>
                <w:b/>
                <w:color w:val="FFFFFF"/>
                <w:sz w:val="18"/>
              </w:rPr>
              <w:t>Owner</w:t>
            </w:r>
          </w:p>
        </w:tc>
        <w:tc>
          <w:tcPr>
            <w:tcW w:type="dxa" w:w="1440"/>
            <w:shd w:val="clear" w:color="auto" w:fill="17375E"/>
            <w:vAlign w:val="center"/>
          </w:tcPr>
          <w:p>
            <w:pPr>
              <w:spacing w:after="20" w:line="240" w:lineRule="auto"/>
            </w:pPr>
            <w:r>
              <w:rPr>
                <w:b/>
              </w:rPr>
            </w:r>
            <w:r>
              <w:rPr>
                <w:b/>
                <w:color w:val="FFFFFF"/>
                <w:sz w:val="18"/>
              </w:rPr>
              <w:t>Planned date</w:t>
            </w:r>
          </w:p>
        </w:tc>
      </w:tr>
      <w:tr>
        <w:trPr>
          <w:cantSplit w:val="true"/>
        </w:trPr>
        <w:tc>
          <w:tcPr>
            <w:tcW w:type="dxa" w:w="2304"/>
            <w:shd w:val="clear" w:color="auto" w:fill="DCE6F1"/>
          </w:tcPr>
          <w:p>
            <w:pPr>
              <w:spacing w:after="20" w:line="240" w:lineRule="auto"/>
            </w:pPr>
            <w:r>
              <w:rPr>
                <w:b/>
              </w:rPr>
            </w:r>
            <w:r>
              <w:rPr>
                <w:b/>
                <w:sz w:val="18"/>
              </w:rPr>
              <w:t>Competent authorities / notified body (EU)</w:t>
            </w:r>
          </w:p>
        </w:tc>
        <w:tc>
          <w:tcPr>
            <w:tcW w:type="dxa" w:w="2304"/>
          </w:tcPr>
          <w:p>
            <w:pPr>
              <w:spacing w:after="20" w:line="240" w:lineRule="auto"/>
            </w:pPr>
            <w:r/>
          </w:p>
        </w:tc>
        <w:tc>
          <w:tcPr>
            <w:tcW w:type="dxa" w:w="1872"/>
          </w:tcPr>
          <w:p>
            <w:pPr>
              <w:spacing w:after="20" w:line="240" w:lineRule="auto"/>
            </w:pPr>
            <w:r/>
          </w:p>
        </w:tc>
        <w:tc>
          <w:tcPr>
            <w:tcW w:type="dxa" w:w="1440"/>
          </w:tcPr>
          <w:p>
            <w:pPr>
              <w:spacing w:after="20" w:line="240" w:lineRule="auto"/>
            </w:pPr>
            <w:r/>
          </w:p>
        </w:tc>
        <w:tc>
          <w:tcPr>
            <w:tcW w:type="dxa" w:w="1440"/>
          </w:tcPr>
          <w:p>
            <w:pPr>
              <w:spacing w:after="20" w:line="240" w:lineRule="auto"/>
            </w:pPr>
            <w:r/>
          </w:p>
        </w:tc>
      </w:tr>
      <w:tr>
        <w:trPr>
          <w:cantSplit w:val="true"/>
        </w:trPr>
        <w:tc>
          <w:tcPr>
            <w:tcW w:type="dxa" w:w="2304"/>
            <w:shd w:val="clear" w:color="auto" w:fill="DCE6F1"/>
          </w:tcPr>
          <w:p>
            <w:pPr>
              <w:spacing w:after="20" w:line="240" w:lineRule="auto"/>
            </w:pPr>
            <w:r>
              <w:rPr>
                <w:b/>
              </w:rPr>
            </w:r>
            <w:r>
              <w:rPr>
                <w:b/>
                <w:sz w:val="18"/>
              </w:rPr>
              <w:t>MHRA (Great Britain)</w:t>
            </w:r>
          </w:p>
        </w:tc>
        <w:tc>
          <w:tcPr>
            <w:tcW w:type="dxa" w:w="2304"/>
          </w:tcPr>
          <w:p>
            <w:pPr>
              <w:spacing w:after="20" w:line="240" w:lineRule="auto"/>
            </w:pPr>
            <w:r/>
          </w:p>
        </w:tc>
        <w:tc>
          <w:tcPr>
            <w:tcW w:type="dxa" w:w="1872"/>
          </w:tcPr>
          <w:p>
            <w:pPr>
              <w:spacing w:after="20" w:line="240" w:lineRule="auto"/>
            </w:pPr>
            <w:r/>
          </w:p>
        </w:tc>
        <w:tc>
          <w:tcPr>
            <w:tcW w:type="dxa" w:w="1440"/>
          </w:tcPr>
          <w:p>
            <w:pPr>
              <w:spacing w:after="20" w:line="240" w:lineRule="auto"/>
            </w:pPr>
            <w:r/>
          </w:p>
        </w:tc>
        <w:tc>
          <w:tcPr>
            <w:tcW w:type="dxa" w:w="1440"/>
          </w:tcPr>
          <w:p>
            <w:pPr>
              <w:spacing w:after="20" w:line="240" w:lineRule="auto"/>
            </w:pPr>
            <w:r/>
          </w:p>
        </w:tc>
      </w:tr>
      <w:tr>
        <w:trPr>
          <w:cantSplit w:val="true"/>
        </w:trPr>
        <w:tc>
          <w:tcPr>
            <w:tcW w:type="dxa" w:w="2304"/>
            <w:shd w:val="clear" w:color="auto" w:fill="DCE6F1"/>
          </w:tcPr>
          <w:p>
            <w:pPr>
              <w:spacing w:after="20" w:line="240" w:lineRule="auto"/>
            </w:pPr>
            <w:r>
              <w:rPr>
                <w:b/>
              </w:rPr>
            </w:r>
            <w:r>
              <w:rPr>
                <w:b/>
                <w:sz w:val="18"/>
              </w:rPr>
              <w:t>FDA (United States)</w:t>
            </w:r>
          </w:p>
        </w:tc>
        <w:tc>
          <w:tcPr>
            <w:tcW w:type="dxa" w:w="2304"/>
          </w:tcPr>
          <w:p>
            <w:pPr>
              <w:spacing w:after="20" w:line="240" w:lineRule="auto"/>
            </w:pPr>
            <w:r/>
          </w:p>
        </w:tc>
        <w:tc>
          <w:tcPr>
            <w:tcW w:type="dxa" w:w="1872"/>
          </w:tcPr>
          <w:p>
            <w:pPr>
              <w:spacing w:after="20" w:line="240" w:lineRule="auto"/>
            </w:pPr>
            <w:r/>
          </w:p>
        </w:tc>
        <w:tc>
          <w:tcPr>
            <w:tcW w:type="dxa" w:w="1440"/>
          </w:tcPr>
          <w:p>
            <w:pPr>
              <w:spacing w:after="20" w:line="240" w:lineRule="auto"/>
            </w:pPr>
            <w:r/>
          </w:p>
        </w:tc>
        <w:tc>
          <w:tcPr>
            <w:tcW w:type="dxa" w:w="1440"/>
          </w:tcPr>
          <w:p>
            <w:pPr>
              <w:spacing w:after="20" w:line="240" w:lineRule="auto"/>
            </w:pPr>
            <w:r/>
          </w:p>
        </w:tc>
      </w:tr>
      <w:tr>
        <w:trPr>
          <w:cantSplit w:val="true"/>
        </w:trPr>
        <w:tc>
          <w:tcPr>
            <w:tcW w:type="dxa" w:w="2304"/>
            <w:shd w:val="clear" w:color="auto" w:fill="DCE6F1"/>
          </w:tcPr>
          <w:p>
            <w:pPr>
              <w:spacing w:after="20" w:line="240" w:lineRule="auto"/>
            </w:pPr>
            <w:r>
              <w:rPr>
                <w:b/>
              </w:rPr>
            </w:r>
            <w:r>
              <w:rPr>
                <w:b/>
                <w:sz w:val="18"/>
              </w:rPr>
              <w:t>Clinicians / prescribers</w:t>
            </w:r>
          </w:p>
        </w:tc>
        <w:tc>
          <w:tcPr>
            <w:tcW w:type="dxa" w:w="2304"/>
          </w:tcPr>
          <w:p>
            <w:pPr>
              <w:spacing w:after="20" w:line="240" w:lineRule="auto"/>
            </w:pPr>
            <w:r/>
          </w:p>
        </w:tc>
        <w:tc>
          <w:tcPr>
            <w:tcW w:type="dxa" w:w="1872"/>
          </w:tcPr>
          <w:p>
            <w:pPr>
              <w:spacing w:after="20" w:line="240" w:lineRule="auto"/>
            </w:pPr>
            <w:r/>
          </w:p>
        </w:tc>
        <w:tc>
          <w:tcPr>
            <w:tcW w:type="dxa" w:w="1440"/>
          </w:tcPr>
          <w:p>
            <w:pPr>
              <w:spacing w:after="20" w:line="240" w:lineRule="auto"/>
            </w:pPr>
            <w:r/>
          </w:p>
        </w:tc>
        <w:tc>
          <w:tcPr>
            <w:tcW w:type="dxa" w:w="1440"/>
          </w:tcPr>
          <w:p>
            <w:pPr>
              <w:spacing w:after="20" w:line="240" w:lineRule="auto"/>
            </w:pPr>
            <w:r/>
          </w:p>
        </w:tc>
      </w:tr>
      <w:tr>
        <w:trPr>
          <w:cantSplit w:val="true"/>
        </w:trPr>
        <w:tc>
          <w:tcPr>
            <w:tcW w:type="dxa" w:w="2304"/>
            <w:shd w:val="clear" w:color="auto" w:fill="DCE6F1"/>
          </w:tcPr>
          <w:p>
            <w:pPr>
              <w:spacing w:after="20" w:line="240" w:lineRule="auto"/>
            </w:pPr>
            <w:r>
              <w:rPr>
                <w:b/>
              </w:rPr>
            </w:r>
            <w:r>
              <w:rPr>
                <w:b/>
                <w:sz w:val="18"/>
              </w:rPr>
              <w:t>Users, patients and caregivers</w:t>
            </w:r>
          </w:p>
        </w:tc>
        <w:tc>
          <w:tcPr>
            <w:tcW w:type="dxa" w:w="2304"/>
          </w:tcPr>
          <w:p>
            <w:pPr>
              <w:spacing w:after="20" w:line="240" w:lineRule="auto"/>
            </w:pPr>
            <w:r/>
          </w:p>
        </w:tc>
        <w:tc>
          <w:tcPr>
            <w:tcW w:type="dxa" w:w="1872"/>
          </w:tcPr>
          <w:p>
            <w:pPr>
              <w:spacing w:after="20" w:line="240" w:lineRule="auto"/>
            </w:pPr>
            <w:r/>
          </w:p>
        </w:tc>
        <w:tc>
          <w:tcPr>
            <w:tcW w:type="dxa" w:w="1440"/>
          </w:tcPr>
          <w:p>
            <w:pPr>
              <w:spacing w:after="20" w:line="240" w:lineRule="auto"/>
            </w:pPr>
            <w:r/>
          </w:p>
        </w:tc>
        <w:tc>
          <w:tcPr>
            <w:tcW w:type="dxa" w:w="1440"/>
          </w:tcPr>
          <w:p>
            <w:pPr>
              <w:spacing w:after="20" w:line="240" w:lineRule="auto"/>
            </w:pPr>
            <w:r/>
          </w:p>
        </w:tc>
      </w:tr>
      <w:tr>
        <w:trPr>
          <w:cantSplit w:val="true"/>
        </w:trPr>
        <w:tc>
          <w:tcPr>
            <w:tcW w:type="dxa" w:w="2304"/>
            <w:shd w:val="clear" w:color="auto" w:fill="DCE6F1"/>
          </w:tcPr>
          <w:p>
            <w:pPr>
              <w:spacing w:after="20" w:line="240" w:lineRule="auto"/>
            </w:pPr>
            <w:r>
              <w:rPr>
                <w:b/>
              </w:rPr>
            </w:r>
            <w:r>
              <w:rPr>
                <w:b/>
                <w:sz w:val="18"/>
              </w:rPr>
              <w:t>Distributors and service providers</w:t>
            </w:r>
          </w:p>
        </w:tc>
        <w:tc>
          <w:tcPr>
            <w:tcW w:type="dxa" w:w="2304"/>
          </w:tcPr>
          <w:p>
            <w:pPr>
              <w:spacing w:after="20" w:line="240" w:lineRule="auto"/>
            </w:pPr>
            <w:r/>
          </w:p>
        </w:tc>
        <w:tc>
          <w:tcPr>
            <w:tcW w:type="dxa" w:w="1872"/>
          </w:tcPr>
          <w:p>
            <w:pPr>
              <w:spacing w:after="20" w:line="240" w:lineRule="auto"/>
            </w:pPr>
            <w:r/>
          </w:p>
        </w:tc>
        <w:tc>
          <w:tcPr>
            <w:tcW w:type="dxa" w:w="1440"/>
          </w:tcPr>
          <w:p>
            <w:pPr>
              <w:spacing w:after="20" w:line="240" w:lineRule="auto"/>
            </w:pPr>
            <w:r/>
          </w:p>
        </w:tc>
        <w:tc>
          <w:tcPr>
            <w:tcW w:type="dxa" w:w="1440"/>
          </w:tcPr>
          <w:p>
            <w:pPr>
              <w:spacing w:after="20" w:line="240" w:lineRule="auto"/>
            </w:pPr>
            <w:r/>
          </w:p>
        </w:tc>
      </w:tr>
    </w:tbl>
    <w:p>
      <w:pPr>
        <w:spacing w:after="0" w:before="0" w:line="80" w:lineRule="exact"/>
      </w:pPr>
      <w:r>
        <w:rPr>
          <w:sz w:val="8"/>
        </w:rPr>
      </w:r>
    </w:p>
    <w:p>
      <w:pPr>
        <w:pStyle w:val="Heading1"/>
      </w:pPr>
      <w:r>
        <w:t>Part 2 — Draft checklist</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4752"/>
        <w:gridCol w:w="1007"/>
        <w:gridCol w:w="1007"/>
        <w:gridCol w:w="1007"/>
        <w:gridCol w:w="1584"/>
      </w:tblGrid>
      <w:tr>
        <w:trPr>
          <w:tblHeader w:val="true"/>
          <w:cantSplit w:val="true"/>
        </w:trPr>
        <w:tc>
          <w:tcPr>
            <w:tcW w:type="dxa" w:w="4752"/>
            <w:shd w:val="clear" w:color="auto" w:fill="17375E"/>
            <w:vAlign w:val="center"/>
          </w:tcPr>
          <w:p>
            <w:pPr>
              <w:spacing w:after="20" w:line="240" w:lineRule="auto"/>
            </w:pPr>
            <w:r>
              <w:rPr>
                <w:b/>
              </w:rPr>
            </w:r>
            <w:r>
              <w:rPr>
                <w:b/>
                <w:color w:val="FFFFFF"/>
                <w:sz w:val="17"/>
              </w:rPr>
              <w:t>Check</w:t>
            </w:r>
          </w:p>
        </w:tc>
        <w:tc>
          <w:tcPr>
            <w:tcW w:type="dxa" w:w="1008"/>
            <w:shd w:val="clear" w:color="auto" w:fill="17375E"/>
            <w:vAlign w:val="center"/>
          </w:tcPr>
          <w:p>
            <w:pPr>
              <w:spacing w:after="20" w:line="240" w:lineRule="auto"/>
            </w:pPr>
            <w:r>
              <w:rPr>
                <w:b/>
              </w:rPr>
            </w:r>
            <w:r>
              <w:rPr>
                <w:b/>
                <w:color w:val="FFFFFF"/>
                <w:sz w:val="17"/>
              </w:rPr>
              <w:t>Draft 1</w:t>
            </w:r>
          </w:p>
        </w:tc>
        <w:tc>
          <w:tcPr>
            <w:tcW w:type="dxa" w:w="1008"/>
            <w:shd w:val="clear" w:color="auto" w:fill="17375E"/>
            <w:vAlign w:val="center"/>
          </w:tcPr>
          <w:p>
            <w:pPr>
              <w:spacing w:after="20" w:line="240" w:lineRule="auto"/>
            </w:pPr>
            <w:r>
              <w:rPr>
                <w:b/>
              </w:rPr>
            </w:r>
            <w:r>
              <w:rPr>
                <w:b/>
                <w:color w:val="FFFFFF"/>
                <w:sz w:val="17"/>
              </w:rPr>
              <w:t>Draft 2</w:t>
            </w:r>
          </w:p>
        </w:tc>
        <w:tc>
          <w:tcPr>
            <w:tcW w:type="dxa" w:w="1008"/>
            <w:shd w:val="clear" w:color="auto" w:fill="17375E"/>
            <w:vAlign w:val="center"/>
          </w:tcPr>
          <w:p>
            <w:pPr>
              <w:spacing w:after="20" w:line="240" w:lineRule="auto"/>
            </w:pPr>
            <w:r>
              <w:rPr>
                <w:b/>
              </w:rPr>
            </w:r>
            <w:r>
              <w:rPr>
                <w:b/>
                <w:color w:val="FFFFFF"/>
                <w:sz w:val="17"/>
              </w:rPr>
              <w:t>Final</w:t>
            </w:r>
          </w:p>
        </w:tc>
        <w:tc>
          <w:tcPr>
            <w:tcW w:type="dxa" w:w="1584"/>
            <w:shd w:val="clear" w:color="auto" w:fill="17375E"/>
            <w:vAlign w:val="center"/>
          </w:tcPr>
          <w:p>
            <w:pPr>
              <w:spacing w:after="20" w:line="240" w:lineRule="auto"/>
            </w:pPr>
            <w:r>
              <w:rPr>
                <w:b/>
              </w:rPr>
            </w:r>
            <w:r>
              <w:rPr>
                <w:b/>
                <w:color w:val="FFFFFF"/>
                <w:sz w:val="17"/>
              </w:rPr>
              <w:t>Owner</w:t>
            </w:r>
          </w:p>
        </w:tc>
      </w:tr>
      <w:tr>
        <w:trPr>
          <w:cantSplit w:val="true"/>
        </w:trPr>
        <w:tc>
          <w:tcPr>
            <w:tcW w:type="dxa" w:w="4752"/>
            <w:shd w:val="clear" w:color="auto" w:fill="DCE6F1"/>
          </w:tcPr>
          <w:p>
            <w:pPr>
              <w:spacing w:after="20" w:line="240" w:lineRule="auto"/>
            </w:pPr>
            <w:r>
              <w:rPr>
                <w:b/>
              </w:rPr>
            </w:r>
            <w:r>
              <w:rPr>
                <w:b/>
                <w:sz w:val="17"/>
              </w:rPr>
              <w:t>Title says "Urgent Field Safety Notice" and names the device</w:t>
            </w:r>
          </w:p>
        </w:tc>
        <w:tc>
          <w:tcPr>
            <w:tcW w:type="dxa" w:w="1008"/>
          </w:tcPr>
          <w:p>
            <w:pPr>
              <w:spacing w:after="20" w:line="240" w:lineRule="auto"/>
            </w:pPr>
            <w:r/>
          </w:p>
        </w:tc>
        <w:tc>
          <w:tcPr>
            <w:tcW w:type="dxa" w:w="1008"/>
          </w:tcPr>
          <w:p>
            <w:pPr>
              <w:spacing w:after="20" w:line="240" w:lineRule="auto"/>
            </w:pPr>
            <w:r/>
          </w:p>
        </w:tc>
        <w:tc>
          <w:tcPr>
            <w:tcW w:type="dxa" w:w="1008"/>
          </w:tcPr>
          <w:p>
            <w:pPr>
              <w:spacing w:after="20" w:line="240" w:lineRule="auto"/>
            </w:pPr>
            <w:r/>
          </w:p>
        </w:tc>
        <w:tc>
          <w:tcPr>
            <w:tcW w:type="dxa" w:w="1584"/>
          </w:tcPr>
          <w:p>
            <w:pPr>
              <w:spacing w:after="20" w:line="240" w:lineRule="auto"/>
            </w:pPr>
            <w:r/>
          </w:p>
        </w:tc>
      </w:tr>
      <w:tr>
        <w:trPr>
          <w:cantSplit w:val="true"/>
        </w:trPr>
        <w:tc>
          <w:tcPr>
            <w:tcW w:type="dxa" w:w="4752"/>
            <w:shd w:val="clear" w:color="auto" w:fill="DCE6F1"/>
          </w:tcPr>
          <w:p>
            <w:pPr>
              <w:spacing w:after="20" w:line="240" w:lineRule="auto"/>
            </w:pPr>
            <w:r>
              <w:rPr>
                <w:b/>
              </w:rPr>
            </w:r>
            <w:r>
              <w:rPr>
                <w:b/>
                <w:sz w:val="17"/>
              </w:rPr>
              <w:t>Affected devices identified by the attribute that carries the fault, with how to check</w:t>
            </w:r>
          </w:p>
        </w:tc>
        <w:tc>
          <w:tcPr>
            <w:tcW w:type="dxa" w:w="1008"/>
          </w:tcPr>
          <w:p>
            <w:pPr>
              <w:spacing w:after="20" w:line="240" w:lineRule="auto"/>
            </w:pPr>
            <w:r/>
          </w:p>
        </w:tc>
        <w:tc>
          <w:tcPr>
            <w:tcW w:type="dxa" w:w="1008"/>
          </w:tcPr>
          <w:p>
            <w:pPr>
              <w:spacing w:after="20" w:line="240" w:lineRule="auto"/>
            </w:pPr>
            <w:r/>
          </w:p>
        </w:tc>
        <w:tc>
          <w:tcPr>
            <w:tcW w:type="dxa" w:w="1008"/>
          </w:tcPr>
          <w:p>
            <w:pPr>
              <w:spacing w:after="20" w:line="240" w:lineRule="auto"/>
            </w:pPr>
            <w:r/>
          </w:p>
        </w:tc>
        <w:tc>
          <w:tcPr>
            <w:tcW w:type="dxa" w:w="1584"/>
          </w:tcPr>
          <w:p>
            <w:pPr>
              <w:spacing w:after="20" w:line="240" w:lineRule="auto"/>
            </w:pPr>
            <w:r/>
          </w:p>
        </w:tc>
      </w:tr>
      <w:tr>
        <w:trPr>
          <w:cantSplit w:val="true"/>
        </w:trPr>
        <w:tc>
          <w:tcPr>
            <w:tcW w:type="dxa" w:w="4752"/>
            <w:shd w:val="clear" w:color="auto" w:fill="DCE6F1"/>
          </w:tcPr>
          <w:p>
            <w:pPr>
              <w:spacing w:after="20" w:line="240" w:lineRule="auto"/>
            </w:pPr>
            <w:r>
              <w:rPr>
                <w:b/>
              </w:rPr>
            </w:r>
            <w:r>
              <w:rPr>
                <w:b/>
                <w:sz w:val="17"/>
              </w:rPr>
              <w:t>Unaffected users told whether they need to act</w:t>
            </w:r>
          </w:p>
        </w:tc>
        <w:tc>
          <w:tcPr>
            <w:tcW w:type="dxa" w:w="1008"/>
          </w:tcPr>
          <w:p>
            <w:pPr>
              <w:spacing w:after="20" w:line="240" w:lineRule="auto"/>
            </w:pPr>
            <w:r/>
          </w:p>
        </w:tc>
        <w:tc>
          <w:tcPr>
            <w:tcW w:type="dxa" w:w="1008"/>
          </w:tcPr>
          <w:p>
            <w:pPr>
              <w:spacing w:after="20" w:line="240" w:lineRule="auto"/>
            </w:pPr>
            <w:r/>
          </w:p>
        </w:tc>
        <w:tc>
          <w:tcPr>
            <w:tcW w:type="dxa" w:w="1008"/>
          </w:tcPr>
          <w:p>
            <w:pPr>
              <w:spacing w:after="20" w:line="240" w:lineRule="auto"/>
            </w:pPr>
            <w:r/>
          </w:p>
        </w:tc>
        <w:tc>
          <w:tcPr>
            <w:tcW w:type="dxa" w:w="1584"/>
          </w:tcPr>
          <w:p>
            <w:pPr>
              <w:spacing w:after="20" w:line="240" w:lineRule="auto"/>
            </w:pPr>
            <w:r/>
          </w:p>
        </w:tc>
      </w:tr>
      <w:tr>
        <w:trPr>
          <w:cantSplit w:val="true"/>
        </w:trPr>
        <w:tc>
          <w:tcPr>
            <w:tcW w:type="dxa" w:w="4752"/>
            <w:shd w:val="clear" w:color="auto" w:fill="DCE6F1"/>
          </w:tcPr>
          <w:p>
            <w:pPr>
              <w:spacing w:after="20" w:line="240" w:lineRule="auto"/>
            </w:pPr>
            <w:r>
              <w:rPr>
                <w:b/>
              </w:rPr>
            </w:r>
            <w:r>
              <w:rPr>
                <w:b/>
                <w:sz w:val="17"/>
              </w:rPr>
              <w:t>Required action in the first lines, as one imperative sentence</w:t>
            </w:r>
          </w:p>
        </w:tc>
        <w:tc>
          <w:tcPr>
            <w:tcW w:type="dxa" w:w="1008"/>
          </w:tcPr>
          <w:p>
            <w:pPr>
              <w:spacing w:after="20" w:line="240" w:lineRule="auto"/>
            </w:pPr>
            <w:r/>
          </w:p>
        </w:tc>
        <w:tc>
          <w:tcPr>
            <w:tcW w:type="dxa" w:w="1008"/>
          </w:tcPr>
          <w:p>
            <w:pPr>
              <w:spacing w:after="20" w:line="240" w:lineRule="auto"/>
            </w:pPr>
            <w:r/>
          </w:p>
        </w:tc>
        <w:tc>
          <w:tcPr>
            <w:tcW w:type="dxa" w:w="1008"/>
          </w:tcPr>
          <w:p>
            <w:pPr>
              <w:spacing w:after="20" w:line="240" w:lineRule="auto"/>
            </w:pPr>
            <w:r/>
          </w:p>
        </w:tc>
        <w:tc>
          <w:tcPr>
            <w:tcW w:type="dxa" w:w="1584"/>
          </w:tcPr>
          <w:p>
            <w:pPr>
              <w:spacing w:after="20" w:line="240" w:lineRule="auto"/>
            </w:pPr>
            <w:r/>
          </w:p>
        </w:tc>
      </w:tr>
      <w:tr>
        <w:trPr>
          <w:cantSplit w:val="true"/>
        </w:trPr>
        <w:tc>
          <w:tcPr>
            <w:tcW w:type="dxa" w:w="4752"/>
            <w:shd w:val="clear" w:color="auto" w:fill="DCE6F1"/>
          </w:tcPr>
          <w:p>
            <w:pPr>
              <w:spacing w:after="20" w:line="240" w:lineRule="auto"/>
            </w:pPr>
            <w:r>
              <w:rPr>
                <w:b/>
              </w:rPr>
            </w:r>
            <w:r>
              <w:rPr>
                <w:b/>
                <w:sz w:val="17"/>
              </w:rPr>
              <w:t>Interim action separated from the permanent correction</w:t>
            </w:r>
          </w:p>
        </w:tc>
        <w:tc>
          <w:tcPr>
            <w:tcW w:type="dxa" w:w="1008"/>
          </w:tcPr>
          <w:p>
            <w:pPr>
              <w:spacing w:after="20" w:line="240" w:lineRule="auto"/>
            </w:pPr>
            <w:r/>
          </w:p>
        </w:tc>
        <w:tc>
          <w:tcPr>
            <w:tcW w:type="dxa" w:w="1008"/>
          </w:tcPr>
          <w:p>
            <w:pPr>
              <w:spacing w:after="20" w:line="240" w:lineRule="auto"/>
            </w:pPr>
            <w:r/>
          </w:p>
        </w:tc>
        <w:tc>
          <w:tcPr>
            <w:tcW w:type="dxa" w:w="1008"/>
          </w:tcPr>
          <w:p>
            <w:pPr>
              <w:spacing w:after="20" w:line="240" w:lineRule="auto"/>
            </w:pPr>
            <w:r/>
          </w:p>
        </w:tc>
        <w:tc>
          <w:tcPr>
            <w:tcW w:type="dxa" w:w="1584"/>
          </w:tcPr>
          <w:p>
            <w:pPr>
              <w:spacing w:after="20" w:line="240" w:lineRule="auto"/>
            </w:pPr>
            <w:r/>
          </w:p>
        </w:tc>
      </w:tr>
      <w:tr>
        <w:trPr>
          <w:cantSplit w:val="true"/>
        </w:trPr>
        <w:tc>
          <w:tcPr>
            <w:tcW w:type="dxa" w:w="4752"/>
            <w:shd w:val="clear" w:color="auto" w:fill="DCE6F1"/>
          </w:tcPr>
          <w:p>
            <w:pPr>
              <w:spacing w:after="20" w:line="240" w:lineRule="auto"/>
            </w:pPr>
            <w:r>
              <w:rPr>
                <w:b/>
              </w:rPr>
            </w:r>
            <w:r>
              <w:rPr>
                <w:b/>
                <w:sz w:val="17"/>
              </w:rPr>
              <w:t>No release date promised for an unverified correction</w:t>
            </w:r>
          </w:p>
        </w:tc>
        <w:tc>
          <w:tcPr>
            <w:tcW w:type="dxa" w:w="1008"/>
          </w:tcPr>
          <w:p>
            <w:pPr>
              <w:spacing w:after="20" w:line="240" w:lineRule="auto"/>
            </w:pPr>
            <w:r/>
          </w:p>
        </w:tc>
        <w:tc>
          <w:tcPr>
            <w:tcW w:type="dxa" w:w="1008"/>
          </w:tcPr>
          <w:p>
            <w:pPr>
              <w:spacing w:after="20" w:line="240" w:lineRule="auto"/>
            </w:pPr>
            <w:r/>
          </w:p>
        </w:tc>
        <w:tc>
          <w:tcPr>
            <w:tcW w:type="dxa" w:w="1008"/>
          </w:tcPr>
          <w:p>
            <w:pPr>
              <w:spacing w:after="20" w:line="240" w:lineRule="auto"/>
            </w:pPr>
            <w:r/>
          </w:p>
        </w:tc>
        <w:tc>
          <w:tcPr>
            <w:tcW w:type="dxa" w:w="1584"/>
          </w:tcPr>
          <w:p>
            <w:pPr>
              <w:spacing w:after="20" w:line="240" w:lineRule="auto"/>
            </w:pPr>
            <w:r/>
          </w:p>
        </w:tc>
      </w:tr>
      <w:tr>
        <w:trPr>
          <w:cantSplit w:val="true"/>
        </w:trPr>
        <w:tc>
          <w:tcPr>
            <w:tcW w:type="dxa" w:w="4752"/>
            <w:shd w:val="clear" w:color="auto" w:fill="DCE6F1"/>
          </w:tcPr>
          <w:p>
            <w:pPr>
              <w:spacing w:after="20" w:line="240" w:lineRule="auto"/>
            </w:pPr>
            <w:r>
              <w:rPr>
                <w:b/>
              </w:rPr>
            </w:r>
            <w:r>
              <w:rPr>
                <w:b/>
                <w:sz w:val="17"/>
              </w:rPr>
              <w:t>Risk stated in plain words, with the symptoms that call for action</w:t>
            </w:r>
          </w:p>
        </w:tc>
        <w:tc>
          <w:tcPr>
            <w:tcW w:type="dxa" w:w="1008"/>
          </w:tcPr>
          <w:p>
            <w:pPr>
              <w:spacing w:after="20" w:line="240" w:lineRule="auto"/>
            </w:pPr>
            <w:r/>
          </w:p>
        </w:tc>
        <w:tc>
          <w:tcPr>
            <w:tcW w:type="dxa" w:w="1008"/>
          </w:tcPr>
          <w:p>
            <w:pPr>
              <w:spacing w:after="20" w:line="240" w:lineRule="auto"/>
            </w:pPr>
            <w:r/>
          </w:p>
        </w:tc>
        <w:tc>
          <w:tcPr>
            <w:tcW w:type="dxa" w:w="1008"/>
          </w:tcPr>
          <w:p>
            <w:pPr>
              <w:spacing w:after="20" w:line="240" w:lineRule="auto"/>
            </w:pPr>
            <w:r/>
          </w:p>
        </w:tc>
        <w:tc>
          <w:tcPr>
            <w:tcW w:type="dxa" w:w="1584"/>
          </w:tcPr>
          <w:p>
            <w:pPr>
              <w:spacing w:after="20" w:line="240" w:lineRule="auto"/>
            </w:pPr>
            <w:r/>
          </w:p>
        </w:tc>
      </w:tr>
      <w:tr>
        <w:trPr>
          <w:cantSplit w:val="true"/>
        </w:trPr>
        <w:tc>
          <w:tcPr>
            <w:tcW w:type="dxa" w:w="4752"/>
            <w:shd w:val="clear" w:color="auto" w:fill="DCE6F1"/>
          </w:tcPr>
          <w:p>
            <w:pPr>
              <w:spacing w:after="20" w:line="240" w:lineRule="auto"/>
            </w:pPr>
            <w:r>
              <w:rPr>
                <w:b/>
              </w:rPr>
            </w:r>
            <w:r>
              <w:rPr>
                <w:b/>
                <w:sz w:val="17"/>
              </w:rPr>
              <w:t>Response form and pass-on instructions included</w:t>
            </w:r>
          </w:p>
        </w:tc>
        <w:tc>
          <w:tcPr>
            <w:tcW w:type="dxa" w:w="1008"/>
          </w:tcPr>
          <w:p>
            <w:pPr>
              <w:spacing w:after="20" w:line="240" w:lineRule="auto"/>
            </w:pPr>
            <w:r/>
          </w:p>
        </w:tc>
        <w:tc>
          <w:tcPr>
            <w:tcW w:type="dxa" w:w="1008"/>
          </w:tcPr>
          <w:p>
            <w:pPr>
              <w:spacing w:after="20" w:line="240" w:lineRule="auto"/>
            </w:pPr>
            <w:r/>
          </w:p>
        </w:tc>
        <w:tc>
          <w:tcPr>
            <w:tcW w:type="dxa" w:w="1008"/>
          </w:tcPr>
          <w:p>
            <w:pPr>
              <w:spacing w:after="20" w:line="240" w:lineRule="auto"/>
            </w:pPr>
            <w:r/>
          </w:p>
        </w:tc>
        <w:tc>
          <w:tcPr>
            <w:tcW w:type="dxa" w:w="1584"/>
          </w:tcPr>
          <w:p>
            <w:pPr>
              <w:spacing w:after="20" w:line="240" w:lineRule="auto"/>
            </w:pPr>
            <w:r/>
          </w:p>
        </w:tc>
      </w:tr>
      <w:tr>
        <w:trPr>
          <w:cantSplit w:val="true"/>
        </w:trPr>
        <w:tc>
          <w:tcPr>
            <w:tcW w:type="dxa" w:w="4752"/>
            <w:shd w:val="clear" w:color="auto" w:fill="DCE6F1"/>
          </w:tcPr>
          <w:p>
            <w:pPr>
              <w:spacing w:after="20" w:line="240" w:lineRule="auto"/>
            </w:pPr>
            <w:r>
              <w:rPr>
                <w:b/>
              </w:rPr>
            </w:r>
            <w:r>
              <w:rPr>
                <w:b/>
                <w:sz w:val="17"/>
              </w:rPr>
              <w:t>Contacts, and a statement that the authorities have been informed</w:t>
            </w:r>
          </w:p>
        </w:tc>
        <w:tc>
          <w:tcPr>
            <w:tcW w:type="dxa" w:w="1008"/>
          </w:tcPr>
          <w:p>
            <w:pPr>
              <w:spacing w:after="20" w:line="240" w:lineRule="auto"/>
            </w:pPr>
            <w:r/>
          </w:p>
        </w:tc>
        <w:tc>
          <w:tcPr>
            <w:tcW w:type="dxa" w:w="1008"/>
          </w:tcPr>
          <w:p>
            <w:pPr>
              <w:spacing w:after="20" w:line="240" w:lineRule="auto"/>
            </w:pPr>
            <w:r/>
          </w:p>
        </w:tc>
        <w:tc>
          <w:tcPr>
            <w:tcW w:type="dxa" w:w="1008"/>
          </w:tcPr>
          <w:p>
            <w:pPr>
              <w:spacing w:after="20" w:line="240" w:lineRule="auto"/>
            </w:pPr>
            <w:r/>
          </w:p>
        </w:tc>
        <w:tc>
          <w:tcPr>
            <w:tcW w:type="dxa" w:w="1584"/>
          </w:tcPr>
          <w:p>
            <w:pPr>
              <w:spacing w:after="20" w:line="240" w:lineRule="auto"/>
            </w:pPr>
            <w:r/>
          </w:p>
        </w:tc>
      </w:tr>
      <w:tr>
        <w:trPr>
          <w:cantSplit w:val="true"/>
        </w:trPr>
        <w:tc>
          <w:tcPr>
            <w:tcW w:type="dxa" w:w="4752"/>
            <w:shd w:val="clear" w:color="auto" w:fill="DCE6F1"/>
          </w:tcPr>
          <w:p>
            <w:pPr>
              <w:spacing w:after="20" w:line="240" w:lineRule="auto"/>
            </w:pPr>
            <w:r>
              <w:rPr>
                <w:b/>
              </w:rPr>
            </w:r>
            <w:r>
              <w:rPr>
                <w:b/>
                <w:sz w:val="17"/>
              </w:rPr>
              <w:t>Proposed notice sent to MHRA before customers; FSCA reported in the EU before the action starts</w:t>
            </w:r>
          </w:p>
        </w:tc>
        <w:tc>
          <w:tcPr>
            <w:tcW w:type="dxa" w:w="1008"/>
          </w:tcPr>
          <w:p>
            <w:pPr>
              <w:spacing w:after="20" w:line="240" w:lineRule="auto"/>
            </w:pPr>
            <w:r/>
          </w:p>
        </w:tc>
        <w:tc>
          <w:tcPr>
            <w:tcW w:type="dxa" w:w="1008"/>
          </w:tcPr>
          <w:p>
            <w:pPr>
              <w:spacing w:after="20" w:line="240" w:lineRule="auto"/>
            </w:pPr>
            <w:r/>
          </w:p>
        </w:tc>
        <w:tc>
          <w:tcPr>
            <w:tcW w:type="dxa" w:w="1008"/>
          </w:tcPr>
          <w:p>
            <w:pPr>
              <w:spacing w:after="20" w:line="240" w:lineRule="auto"/>
            </w:pPr>
            <w:r/>
          </w:p>
        </w:tc>
        <w:tc>
          <w:tcPr>
            <w:tcW w:type="dxa" w:w="1584"/>
          </w:tcPr>
          <w:p>
            <w:pPr>
              <w:spacing w:after="20" w:line="240" w:lineRule="auto"/>
            </w:pPr>
            <w:r/>
          </w:p>
        </w:tc>
      </w:tr>
      <w:tr>
        <w:trPr>
          <w:cantSplit w:val="true"/>
        </w:trPr>
        <w:tc>
          <w:tcPr>
            <w:tcW w:type="dxa" w:w="4752"/>
            <w:shd w:val="clear" w:color="auto" w:fill="DCE6F1"/>
          </w:tcPr>
          <w:p>
            <w:pPr>
              <w:spacing w:after="20" w:line="240" w:lineRule="auto"/>
            </w:pPr>
            <w:r>
              <w:rPr>
                <w:b/>
              </w:rPr>
            </w:r>
            <w:r>
              <w:rPr>
                <w:b/>
                <w:sz w:val="17"/>
              </w:rPr>
              <w:t>Effectiveness check defined in the FSCA file</w:t>
            </w:r>
          </w:p>
        </w:tc>
        <w:tc>
          <w:tcPr>
            <w:tcW w:type="dxa" w:w="1008"/>
          </w:tcPr>
          <w:p>
            <w:pPr>
              <w:spacing w:after="20" w:line="240" w:lineRule="auto"/>
            </w:pPr>
            <w:r/>
          </w:p>
        </w:tc>
        <w:tc>
          <w:tcPr>
            <w:tcW w:type="dxa" w:w="1008"/>
          </w:tcPr>
          <w:p>
            <w:pPr>
              <w:spacing w:after="20" w:line="240" w:lineRule="auto"/>
            </w:pPr>
            <w:r/>
          </w:p>
        </w:tc>
        <w:tc>
          <w:tcPr>
            <w:tcW w:type="dxa" w:w="1008"/>
          </w:tcPr>
          <w:p>
            <w:pPr>
              <w:spacing w:after="20" w:line="240" w:lineRule="auto"/>
            </w:pPr>
            <w:r/>
          </w:p>
        </w:tc>
        <w:tc>
          <w:tcPr>
            <w:tcW w:type="dxa" w:w="1584"/>
          </w:tcPr>
          <w:p>
            <w:pPr>
              <w:spacing w:after="20" w:line="240" w:lineRule="auto"/>
            </w:pPr>
            <w:r/>
          </w:p>
        </w:tc>
      </w:tr>
    </w:tbl>
    <w:p>
      <w:pPr>
        <w:spacing w:after="0" w:before="0" w:line="80" w:lineRule="exact"/>
      </w:pPr>
      <w:r>
        <w:rPr>
          <w:sz w:val="8"/>
        </w:rPr>
      </w:r>
    </w:p>
    <w:p>
      <w:pPr>
        <w:pStyle w:val="Heading1"/>
      </w:pPr>
      <w:r>
        <w:t>Part 3 — Recommended section order</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1152"/>
        <w:gridCol w:w="6336"/>
        <w:gridCol w:w="1872"/>
      </w:tblGrid>
      <w:tr>
        <w:trPr>
          <w:tblHeader w:val="true"/>
          <w:cantSplit w:val="true"/>
        </w:trPr>
        <w:tc>
          <w:tcPr>
            <w:tcW w:type="dxa" w:w="1152"/>
            <w:shd w:val="clear" w:color="auto" w:fill="17375E"/>
            <w:vAlign w:val="center"/>
          </w:tcPr>
          <w:p>
            <w:pPr>
              <w:spacing w:after="20" w:line="240" w:lineRule="auto"/>
            </w:pPr>
            <w:r>
              <w:rPr>
                <w:b/>
              </w:rPr>
            </w:r>
            <w:r>
              <w:rPr>
                <w:b/>
                <w:color w:val="FFFFFF"/>
                <w:sz w:val="18"/>
              </w:rPr>
              <w:t>Position</w:t>
            </w:r>
          </w:p>
        </w:tc>
        <w:tc>
          <w:tcPr>
            <w:tcW w:type="dxa" w:w="6336"/>
            <w:shd w:val="clear" w:color="auto" w:fill="17375E"/>
            <w:vAlign w:val="center"/>
          </w:tcPr>
          <w:p>
            <w:pPr>
              <w:spacing w:after="20" w:line="240" w:lineRule="auto"/>
            </w:pPr>
            <w:r>
              <w:rPr>
                <w:b/>
              </w:rPr>
            </w:r>
            <w:r>
              <w:rPr>
                <w:b/>
                <w:color w:val="FFFFFF"/>
                <w:sz w:val="18"/>
              </w:rPr>
              <w:t>Section</w:t>
            </w:r>
          </w:p>
        </w:tc>
        <w:tc>
          <w:tcPr>
            <w:tcW w:type="dxa" w:w="1872"/>
            <w:shd w:val="clear" w:color="auto" w:fill="17375E"/>
            <w:vAlign w:val="center"/>
          </w:tcPr>
          <w:p>
            <w:pPr>
              <w:spacing w:after="20" w:line="240" w:lineRule="auto"/>
            </w:pPr>
            <w:r>
              <w:rPr>
                <w:b/>
              </w:rPr>
            </w:r>
            <w:r>
              <w:rPr>
                <w:b/>
                <w:color w:val="FFFFFF"/>
                <w:sz w:val="18"/>
              </w:rPr>
              <w:t>Present in draft? (Y/N)</w:t>
            </w:r>
          </w:p>
        </w:tc>
      </w:tr>
      <w:tr>
        <w:trPr>
          <w:cantSplit w:val="true"/>
        </w:trPr>
        <w:tc>
          <w:tcPr>
            <w:tcW w:type="dxa" w:w="1152"/>
            <w:shd w:val="clear" w:color="auto" w:fill="DCE6F1"/>
          </w:tcPr>
          <w:p>
            <w:pPr>
              <w:spacing w:after="20" w:line="240" w:lineRule="auto"/>
            </w:pPr>
            <w:r>
              <w:rPr>
                <w:b/>
              </w:rPr>
            </w:r>
            <w:r>
              <w:rPr>
                <w:b/>
                <w:sz w:val="18"/>
              </w:rPr>
              <w:t>1</w:t>
            </w:r>
          </w:p>
        </w:tc>
        <w:tc>
          <w:tcPr>
            <w:tcW w:type="dxa" w:w="6336"/>
            <w:shd w:val="clear" w:color="auto" w:fill="F2F2F2"/>
          </w:tcPr>
          <w:p>
            <w:pPr>
              <w:spacing w:after="20" w:line="240" w:lineRule="auto"/>
            </w:pPr>
            <w:r/>
            <w:r>
              <w:rPr>
                <w:b w:val="0"/>
                <w:sz w:val="18"/>
              </w:rPr>
              <w:t>"Urgent Field Safety Notice", device, version or lot, one-line risk</w:t>
            </w:r>
          </w:p>
        </w:tc>
        <w:tc>
          <w:tcPr>
            <w:tcW w:type="dxa" w:w="1872"/>
          </w:tcPr>
          <w:p>
            <w:pPr>
              <w:spacing w:after="20" w:line="240" w:lineRule="auto"/>
            </w:pPr>
            <w:r/>
          </w:p>
        </w:tc>
      </w:tr>
      <w:tr>
        <w:trPr>
          <w:cantSplit w:val="true"/>
        </w:trPr>
        <w:tc>
          <w:tcPr>
            <w:tcW w:type="dxa" w:w="1152"/>
            <w:shd w:val="clear" w:color="auto" w:fill="DCE6F1"/>
          </w:tcPr>
          <w:p>
            <w:pPr>
              <w:spacing w:after="20" w:line="240" w:lineRule="auto"/>
            </w:pPr>
            <w:r>
              <w:rPr>
                <w:b/>
              </w:rPr>
            </w:r>
            <w:r>
              <w:rPr>
                <w:b/>
                <w:sz w:val="18"/>
              </w:rPr>
              <w:t>2</w:t>
            </w:r>
          </w:p>
        </w:tc>
        <w:tc>
          <w:tcPr>
            <w:tcW w:type="dxa" w:w="6336"/>
            <w:shd w:val="clear" w:color="auto" w:fill="F2F2F2"/>
          </w:tcPr>
          <w:p>
            <w:pPr>
              <w:spacing w:after="20" w:line="240" w:lineRule="auto"/>
            </w:pPr>
            <w:r/>
            <w:r>
              <w:rPr>
                <w:b w:val="0"/>
                <w:sz w:val="18"/>
              </w:rPr>
              <w:t>Is your device affected? (how to check; who is not affected)</w:t>
            </w:r>
          </w:p>
        </w:tc>
        <w:tc>
          <w:tcPr>
            <w:tcW w:type="dxa" w:w="1872"/>
          </w:tcPr>
          <w:p>
            <w:pPr>
              <w:spacing w:after="20" w:line="240" w:lineRule="auto"/>
            </w:pPr>
            <w:r/>
          </w:p>
        </w:tc>
      </w:tr>
      <w:tr>
        <w:trPr>
          <w:cantSplit w:val="true"/>
        </w:trPr>
        <w:tc>
          <w:tcPr>
            <w:tcW w:type="dxa" w:w="1152"/>
            <w:shd w:val="clear" w:color="auto" w:fill="DCE6F1"/>
          </w:tcPr>
          <w:p>
            <w:pPr>
              <w:spacing w:after="20" w:line="240" w:lineRule="auto"/>
            </w:pPr>
            <w:r>
              <w:rPr>
                <w:b/>
              </w:rPr>
            </w:r>
            <w:r>
              <w:rPr>
                <w:b/>
                <w:sz w:val="18"/>
              </w:rPr>
              <w:t>3</w:t>
            </w:r>
          </w:p>
        </w:tc>
        <w:tc>
          <w:tcPr>
            <w:tcW w:type="dxa" w:w="6336"/>
            <w:shd w:val="clear" w:color="auto" w:fill="F2F2F2"/>
          </w:tcPr>
          <w:p>
            <w:pPr>
              <w:spacing w:after="20" w:line="240" w:lineRule="auto"/>
            </w:pPr>
            <w:r/>
            <w:r>
              <w:rPr>
                <w:b w:val="0"/>
                <w:sz w:val="18"/>
              </w:rPr>
              <w:t>What to do now: the interim instruction</w:t>
            </w:r>
          </w:p>
        </w:tc>
        <w:tc>
          <w:tcPr>
            <w:tcW w:type="dxa" w:w="1872"/>
          </w:tcPr>
          <w:p>
            <w:pPr>
              <w:spacing w:after="20" w:line="240" w:lineRule="auto"/>
            </w:pPr>
            <w:r/>
          </w:p>
        </w:tc>
      </w:tr>
      <w:tr>
        <w:trPr>
          <w:cantSplit w:val="true"/>
        </w:trPr>
        <w:tc>
          <w:tcPr>
            <w:tcW w:type="dxa" w:w="1152"/>
            <w:shd w:val="clear" w:color="auto" w:fill="DCE6F1"/>
          </w:tcPr>
          <w:p>
            <w:pPr>
              <w:spacing w:after="20" w:line="240" w:lineRule="auto"/>
            </w:pPr>
            <w:r>
              <w:rPr>
                <w:b/>
              </w:rPr>
            </w:r>
            <w:r>
              <w:rPr>
                <w:b/>
                <w:sz w:val="18"/>
              </w:rPr>
              <w:t>4</w:t>
            </w:r>
          </w:p>
        </w:tc>
        <w:tc>
          <w:tcPr>
            <w:tcW w:type="dxa" w:w="6336"/>
            <w:shd w:val="clear" w:color="auto" w:fill="F2F2F2"/>
          </w:tcPr>
          <w:p>
            <w:pPr>
              <w:spacing w:after="20" w:line="240" w:lineRule="auto"/>
            </w:pPr>
            <w:r/>
            <w:r>
              <w:rPr>
                <w:b w:val="0"/>
                <w:sz w:val="18"/>
              </w:rPr>
              <w:t>What happens next: the permanent correction, and how users will be contacted</w:t>
            </w:r>
          </w:p>
        </w:tc>
        <w:tc>
          <w:tcPr>
            <w:tcW w:type="dxa" w:w="1872"/>
          </w:tcPr>
          <w:p>
            <w:pPr>
              <w:spacing w:after="20" w:line="240" w:lineRule="auto"/>
            </w:pPr>
            <w:r/>
          </w:p>
        </w:tc>
      </w:tr>
      <w:tr>
        <w:trPr>
          <w:cantSplit w:val="true"/>
        </w:trPr>
        <w:tc>
          <w:tcPr>
            <w:tcW w:type="dxa" w:w="1152"/>
            <w:shd w:val="clear" w:color="auto" w:fill="DCE6F1"/>
          </w:tcPr>
          <w:p>
            <w:pPr>
              <w:spacing w:after="20" w:line="240" w:lineRule="auto"/>
            </w:pPr>
            <w:r>
              <w:rPr>
                <w:b/>
              </w:rPr>
            </w:r>
            <w:r>
              <w:rPr>
                <w:b/>
                <w:sz w:val="18"/>
              </w:rPr>
              <w:t>5</w:t>
            </w:r>
          </w:p>
        </w:tc>
        <w:tc>
          <w:tcPr>
            <w:tcW w:type="dxa" w:w="6336"/>
            <w:shd w:val="clear" w:color="auto" w:fill="F2F2F2"/>
          </w:tcPr>
          <w:p>
            <w:pPr>
              <w:spacing w:after="20" w:line="240" w:lineRule="auto"/>
            </w:pPr>
            <w:r/>
            <w:r>
              <w:rPr>
                <w:b w:val="0"/>
                <w:sz w:val="18"/>
              </w:rPr>
              <w:t>The risk in plain words, and the symptoms that call for action</w:t>
            </w:r>
          </w:p>
        </w:tc>
        <w:tc>
          <w:tcPr>
            <w:tcW w:type="dxa" w:w="1872"/>
          </w:tcPr>
          <w:p>
            <w:pPr>
              <w:spacing w:after="20" w:line="240" w:lineRule="auto"/>
            </w:pPr>
            <w:r/>
          </w:p>
        </w:tc>
      </w:tr>
      <w:tr>
        <w:trPr>
          <w:cantSplit w:val="true"/>
        </w:trPr>
        <w:tc>
          <w:tcPr>
            <w:tcW w:type="dxa" w:w="1152"/>
            <w:shd w:val="clear" w:color="auto" w:fill="DCE6F1"/>
          </w:tcPr>
          <w:p>
            <w:pPr>
              <w:spacing w:after="20" w:line="240" w:lineRule="auto"/>
            </w:pPr>
            <w:r>
              <w:rPr>
                <w:b/>
              </w:rPr>
            </w:r>
            <w:r>
              <w:rPr>
                <w:b/>
                <w:sz w:val="18"/>
              </w:rPr>
              <w:t>6</w:t>
            </w:r>
          </w:p>
        </w:tc>
        <w:tc>
          <w:tcPr>
            <w:tcW w:type="dxa" w:w="6336"/>
            <w:shd w:val="clear" w:color="auto" w:fill="F2F2F2"/>
          </w:tcPr>
          <w:p>
            <w:pPr>
              <w:spacing w:after="20" w:line="240" w:lineRule="auto"/>
            </w:pPr>
            <w:r/>
            <w:r>
              <w:rPr>
                <w:b w:val="0"/>
                <w:sz w:val="18"/>
              </w:rPr>
              <w:t>What went wrong, in two sentences</w:t>
            </w:r>
          </w:p>
        </w:tc>
        <w:tc>
          <w:tcPr>
            <w:tcW w:type="dxa" w:w="1872"/>
          </w:tcPr>
          <w:p>
            <w:pPr>
              <w:spacing w:after="20" w:line="240" w:lineRule="auto"/>
            </w:pPr>
            <w:r/>
          </w:p>
        </w:tc>
      </w:tr>
      <w:tr>
        <w:trPr>
          <w:cantSplit w:val="true"/>
        </w:trPr>
        <w:tc>
          <w:tcPr>
            <w:tcW w:type="dxa" w:w="1152"/>
            <w:shd w:val="clear" w:color="auto" w:fill="DCE6F1"/>
          </w:tcPr>
          <w:p>
            <w:pPr>
              <w:spacing w:after="20" w:line="240" w:lineRule="auto"/>
            </w:pPr>
            <w:r>
              <w:rPr>
                <w:b/>
              </w:rPr>
            </w:r>
            <w:r>
              <w:rPr>
                <w:b/>
                <w:sz w:val="18"/>
              </w:rPr>
              <w:t>7</w:t>
            </w:r>
          </w:p>
        </w:tc>
        <w:tc>
          <w:tcPr>
            <w:tcW w:type="dxa" w:w="6336"/>
            <w:shd w:val="clear" w:color="auto" w:fill="F2F2F2"/>
          </w:tcPr>
          <w:p>
            <w:pPr>
              <w:spacing w:after="20" w:line="240" w:lineRule="auto"/>
            </w:pPr>
            <w:r/>
            <w:r>
              <w:rPr>
                <w:b w:val="0"/>
                <w:sz w:val="18"/>
              </w:rPr>
              <w:t>Response form and instructions to pass the notice on</w:t>
            </w:r>
          </w:p>
        </w:tc>
        <w:tc>
          <w:tcPr>
            <w:tcW w:type="dxa" w:w="1872"/>
          </w:tcPr>
          <w:p>
            <w:pPr>
              <w:spacing w:after="20" w:line="240" w:lineRule="auto"/>
            </w:pPr>
            <w:r/>
          </w:p>
        </w:tc>
      </w:tr>
      <w:tr>
        <w:trPr>
          <w:cantSplit w:val="true"/>
        </w:trPr>
        <w:tc>
          <w:tcPr>
            <w:tcW w:type="dxa" w:w="1152"/>
            <w:shd w:val="clear" w:color="auto" w:fill="DCE6F1"/>
          </w:tcPr>
          <w:p>
            <w:pPr>
              <w:spacing w:after="20" w:line="240" w:lineRule="auto"/>
            </w:pPr>
            <w:r>
              <w:rPr>
                <w:b/>
              </w:rPr>
            </w:r>
            <w:r>
              <w:rPr>
                <w:b/>
                <w:sz w:val="18"/>
              </w:rPr>
              <w:t>8</w:t>
            </w:r>
          </w:p>
        </w:tc>
        <w:tc>
          <w:tcPr>
            <w:tcW w:type="dxa" w:w="6336"/>
            <w:shd w:val="clear" w:color="auto" w:fill="F2F2F2"/>
          </w:tcPr>
          <w:p>
            <w:pPr>
              <w:spacing w:after="20" w:line="240" w:lineRule="auto"/>
            </w:pPr>
            <w:r/>
            <w:r>
              <w:rPr>
                <w:b w:val="0"/>
                <w:sz w:val="18"/>
              </w:rPr>
              <w:t>Contacts, and a statement that the authorities have been informed</w:t>
            </w:r>
          </w:p>
        </w:tc>
        <w:tc>
          <w:tcPr>
            <w:tcW w:type="dxa" w:w="1872"/>
          </w:tcPr>
          <w:p>
            <w:pPr>
              <w:spacing w:after="20" w:line="240" w:lineRule="auto"/>
            </w:pPr>
            <w:r/>
          </w:p>
        </w:tc>
      </w:tr>
    </w:tbl>
    <w:p>
      <w:pPr>
        <w:spacing w:after="0" w:before="0" w:line="80" w:lineRule="exact"/>
      </w:pPr>
      <w:r>
        <w:rPr>
          <w:sz w:val="8"/>
        </w:rPr>
      </w:r>
    </w:p>
    <w:p>
      <w:pPr>
        <w:pStyle w:val="Heading1"/>
      </w:pPr>
      <w:r>
        <w:t>Part 4 — Plain-language rewrite exercise</w:t>
      </w:r>
    </w:p>
    <w:p>
      <w:r>
        <w:rPr>
          <w:b w:val="0"/>
        </w:rPr>
        <w:t>Take one sentence from the technical draft and rewrite it twice, in no more than 60 words each. Test both versions with someone outside the project. If they cannot say what to do after reading it, rewrite it again.</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880"/>
        <w:gridCol w:w="6480"/>
      </w:tblGrid>
      <w:tr>
        <w:trPr>
          <w:cantSplit w:val="true"/>
          <w:trHeight w:val="1008" w:hRule="atLeast"/>
        </w:trPr>
        <w:tc>
          <w:tcPr>
            <w:tcW w:type="dxa" w:w="2880"/>
            <w:shd w:val="clear" w:color="auto" w:fill="DCE6F1"/>
          </w:tcPr>
          <w:p>
            <w:pPr>
              <w:spacing w:after="20" w:line="240" w:lineRule="auto"/>
            </w:pPr>
            <w:r>
              <w:rPr>
                <w:b/>
              </w:rPr>
            </w:r>
            <w:r>
              <w:rPr>
                <w:b/>
                <w:sz w:val="18"/>
              </w:rPr>
              <w:t>Original sentence</w:t>
            </w:r>
          </w:p>
        </w:tc>
        <w:tc>
          <w:tcPr>
            <w:tcW w:type="dxa" w:w="6480"/>
          </w:tcPr>
          <w:p>
            <w:pPr>
              <w:spacing w:after="20" w:line="240" w:lineRule="auto"/>
            </w:pPr>
            <w:r/>
          </w:p>
        </w:tc>
      </w:tr>
      <w:tr>
        <w:trPr>
          <w:cantSplit w:val="true"/>
          <w:trHeight w:val="1008" w:hRule="atLeast"/>
        </w:trPr>
        <w:tc>
          <w:tcPr>
            <w:tcW w:type="dxa" w:w="2880"/>
            <w:shd w:val="clear" w:color="auto" w:fill="DCE6F1"/>
          </w:tcPr>
          <w:p>
            <w:pPr>
              <w:spacing w:after="20" w:line="240" w:lineRule="auto"/>
            </w:pPr>
            <w:r>
              <w:rPr>
                <w:b/>
              </w:rPr>
            </w:r>
            <w:r>
              <w:rPr>
                <w:b/>
                <w:sz w:val="18"/>
              </w:rPr>
              <w:t>Clinician version (≤ 60 words)</w:t>
            </w:r>
          </w:p>
        </w:tc>
        <w:tc>
          <w:tcPr>
            <w:tcW w:type="dxa" w:w="6480"/>
          </w:tcPr>
          <w:p>
            <w:pPr>
              <w:spacing w:after="20" w:line="240" w:lineRule="auto"/>
            </w:pPr>
            <w:r/>
          </w:p>
        </w:tc>
      </w:tr>
      <w:tr>
        <w:trPr>
          <w:cantSplit w:val="true"/>
          <w:trHeight w:val="1008" w:hRule="atLeast"/>
        </w:trPr>
        <w:tc>
          <w:tcPr>
            <w:tcW w:type="dxa" w:w="2880"/>
            <w:shd w:val="clear" w:color="auto" w:fill="DCE6F1"/>
          </w:tcPr>
          <w:p>
            <w:pPr>
              <w:spacing w:after="20" w:line="240" w:lineRule="auto"/>
            </w:pPr>
            <w:r>
              <w:rPr>
                <w:b/>
              </w:rPr>
            </w:r>
            <w:r>
              <w:rPr>
                <w:b/>
                <w:sz w:val="18"/>
              </w:rPr>
              <w:t>Patient version (≤ 60 words)</w:t>
            </w:r>
          </w:p>
        </w:tc>
        <w:tc>
          <w:tcPr>
            <w:tcW w:type="dxa" w:w="6480"/>
          </w:tcPr>
          <w:p>
            <w:pPr>
              <w:spacing w:after="20" w:line="240" w:lineRule="auto"/>
            </w:pPr>
            <w:r/>
          </w:p>
        </w:tc>
      </w:tr>
      <w:tr>
        <w:trPr>
          <w:cantSplit w:val="true"/>
          <w:trHeight w:val="1008" w:hRule="atLeast"/>
        </w:trPr>
        <w:tc>
          <w:tcPr>
            <w:tcW w:type="dxa" w:w="2880"/>
            <w:shd w:val="clear" w:color="auto" w:fill="DCE6F1"/>
          </w:tcPr>
          <w:p>
            <w:pPr>
              <w:spacing w:after="20" w:line="240" w:lineRule="auto"/>
            </w:pPr>
            <w:r>
              <w:rPr>
                <w:b/>
              </w:rPr>
            </w:r>
            <w:r>
              <w:rPr>
                <w:b/>
                <w:sz w:val="18"/>
              </w:rPr>
              <w:t>Tested with (role) — could they say what to do?</w:t>
            </w:r>
          </w:p>
        </w:tc>
        <w:tc>
          <w:tcPr>
            <w:tcW w:type="dxa" w:w="6480"/>
          </w:tcPr>
          <w:p>
            <w:pPr>
              <w:spacing w:after="20" w:line="240" w:lineRule="auto"/>
            </w:pPr>
            <w:r/>
          </w:p>
        </w:tc>
      </w:tr>
    </w:tbl>
    <w:p>
      <w:pPr>
        <w:spacing w:after="0" w:before="0" w:line="80" w:lineRule="exact"/>
      </w:pPr>
      <w:r>
        <w:rPr>
          <w:sz w:val="8"/>
        </w:rPr>
      </w:r>
    </w:p>
    <w:p>
      <w:pPr>
        <w:pStyle w:val="Heading1"/>
      </w:pPr>
      <w:r>
        <w:t>Part 5 — Follow-up</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744"/>
        <w:gridCol w:w="1872"/>
        <w:gridCol w:w="2304"/>
        <w:gridCol w:w="1440"/>
      </w:tblGrid>
      <w:tr>
        <w:trPr>
          <w:tblHeader w:val="true"/>
          <w:cantSplit w:val="true"/>
        </w:trPr>
        <w:tc>
          <w:tcPr>
            <w:tcW w:type="dxa" w:w="3744"/>
            <w:shd w:val="clear" w:color="auto" w:fill="17375E"/>
            <w:vAlign w:val="center"/>
          </w:tcPr>
          <w:p>
            <w:pPr>
              <w:spacing w:after="20" w:line="240" w:lineRule="auto"/>
            </w:pPr>
            <w:r>
              <w:rPr>
                <w:b/>
              </w:rPr>
            </w:r>
            <w:r>
              <w:rPr>
                <w:b/>
                <w:color w:val="FFFFFF"/>
                <w:sz w:val="18"/>
              </w:rPr>
              <w:t>Measure</w:t>
            </w:r>
          </w:p>
        </w:tc>
        <w:tc>
          <w:tcPr>
            <w:tcW w:type="dxa" w:w="1872"/>
            <w:shd w:val="clear" w:color="auto" w:fill="17375E"/>
            <w:vAlign w:val="center"/>
          </w:tcPr>
          <w:p>
            <w:pPr>
              <w:spacing w:after="20" w:line="240" w:lineRule="auto"/>
            </w:pPr>
            <w:r>
              <w:rPr>
                <w:b/>
              </w:rPr>
            </w:r>
            <w:r>
              <w:rPr>
                <w:b/>
                <w:color w:val="FFFFFF"/>
                <w:sz w:val="18"/>
              </w:rPr>
              <w:t>Target</w:t>
            </w:r>
          </w:p>
        </w:tc>
        <w:tc>
          <w:tcPr>
            <w:tcW w:type="dxa" w:w="2304"/>
            <w:shd w:val="clear" w:color="auto" w:fill="17375E"/>
            <w:vAlign w:val="center"/>
          </w:tcPr>
          <w:p>
            <w:pPr>
              <w:spacing w:after="20" w:line="240" w:lineRule="auto"/>
            </w:pPr>
            <w:r>
              <w:rPr>
                <w:b/>
              </w:rPr>
            </w:r>
            <w:r>
              <w:rPr>
                <w:b/>
                <w:color w:val="FFFFFF"/>
                <w:sz w:val="18"/>
              </w:rPr>
              <w:t>Result</w:t>
            </w:r>
          </w:p>
        </w:tc>
        <w:tc>
          <w:tcPr>
            <w:tcW w:type="dxa" w:w="1440"/>
            <w:shd w:val="clear" w:color="auto" w:fill="17375E"/>
            <w:vAlign w:val="center"/>
          </w:tcPr>
          <w:p>
            <w:pPr>
              <w:spacing w:after="20" w:line="240" w:lineRule="auto"/>
            </w:pPr>
            <w:r>
              <w:rPr>
                <w:b/>
              </w:rPr>
            </w:r>
            <w:r>
              <w:rPr>
                <w:b/>
                <w:color w:val="FFFFFF"/>
                <w:sz w:val="18"/>
              </w:rPr>
              <w:t>Date</w:t>
            </w:r>
          </w:p>
        </w:tc>
      </w:tr>
      <w:tr>
        <w:trPr>
          <w:cantSplit w:val="true"/>
        </w:trPr>
        <w:tc>
          <w:tcPr>
            <w:tcW w:type="dxa" w:w="3744"/>
            <w:shd w:val="clear" w:color="auto" w:fill="DCE6F1"/>
          </w:tcPr>
          <w:p>
            <w:pPr>
              <w:spacing w:after="20" w:line="240" w:lineRule="auto"/>
            </w:pPr>
            <w:r>
              <w:rPr>
                <w:b/>
              </w:rPr>
            </w:r>
            <w:r>
              <w:rPr>
                <w:b/>
                <w:sz w:val="18"/>
              </w:rPr>
              <w:t>Consignees reached / acknowledged</w:t>
            </w:r>
          </w:p>
        </w:tc>
        <w:tc>
          <w:tcPr>
            <w:tcW w:type="dxa" w:w="1872"/>
          </w:tcPr>
          <w:p>
            <w:pPr>
              <w:spacing w:after="20" w:line="240" w:lineRule="auto"/>
            </w:pPr>
            <w:r/>
          </w:p>
        </w:tc>
        <w:tc>
          <w:tcPr>
            <w:tcW w:type="dxa" w:w="2304"/>
          </w:tcPr>
          <w:p>
            <w:pPr>
              <w:spacing w:after="20" w:line="240" w:lineRule="auto"/>
            </w:pPr>
            <w:r/>
          </w:p>
        </w:tc>
        <w:tc>
          <w:tcPr>
            <w:tcW w:type="dxa" w:w="1440"/>
          </w:tcPr>
          <w:p>
            <w:pPr>
              <w:spacing w:after="20" w:line="240" w:lineRule="auto"/>
            </w:pPr>
            <w:r/>
          </w:p>
        </w:tc>
      </w:tr>
      <w:tr>
        <w:trPr>
          <w:cantSplit w:val="true"/>
        </w:trPr>
        <w:tc>
          <w:tcPr>
            <w:tcW w:type="dxa" w:w="3744"/>
            <w:shd w:val="clear" w:color="auto" w:fill="DCE6F1"/>
          </w:tcPr>
          <w:p>
            <w:pPr>
              <w:spacing w:after="20" w:line="240" w:lineRule="auto"/>
            </w:pPr>
            <w:r>
              <w:rPr>
                <w:b/>
              </w:rPr>
            </w:r>
            <w:r>
              <w:rPr>
                <w:b/>
                <w:sz w:val="18"/>
              </w:rPr>
              <w:t>Response forms returned</w:t>
            </w:r>
          </w:p>
        </w:tc>
        <w:tc>
          <w:tcPr>
            <w:tcW w:type="dxa" w:w="1872"/>
          </w:tcPr>
          <w:p>
            <w:pPr>
              <w:spacing w:after="20" w:line="240" w:lineRule="auto"/>
            </w:pPr>
            <w:r/>
          </w:p>
        </w:tc>
        <w:tc>
          <w:tcPr>
            <w:tcW w:type="dxa" w:w="2304"/>
          </w:tcPr>
          <w:p>
            <w:pPr>
              <w:spacing w:after="20" w:line="240" w:lineRule="auto"/>
            </w:pPr>
            <w:r/>
          </w:p>
        </w:tc>
        <w:tc>
          <w:tcPr>
            <w:tcW w:type="dxa" w:w="1440"/>
          </w:tcPr>
          <w:p>
            <w:pPr>
              <w:spacing w:after="20" w:line="240" w:lineRule="auto"/>
            </w:pPr>
            <w:r/>
          </w:p>
        </w:tc>
      </w:tr>
      <w:tr>
        <w:trPr>
          <w:cantSplit w:val="true"/>
        </w:trPr>
        <w:tc>
          <w:tcPr>
            <w:tcW w:type="dxa" w:w="3744"/>
            <w:shd w:val="clear" w:color="auto" w:fill="DCE6F1"/>
          </w:tcPr>
          <w:p>
            <w:pPr>
              <w:spacing w:after="20" w:line="240" w:lineRule="auto"/>
            </w:pPr>
            <w:r>
              <w:rPr>
                <w:b/>
              </w:rPr>
            </w:r>
            <w:r>
              <w:rPr>
                <w:b/>
                <w:sz w:val="18"/>
              </w:rPr>
              <w:t>Non-responders followed up in writing</w:t>
            </w:r>
          </w:p>
        </w:tc>
        <w:tc>
          <w:tcPr>
            <w:tcW w:type="dxa" w:w="1872"/>
          </w:tcPr>
          <w:p>
            <w:pPr>
              <w:spacing w:after="20" w:line="240" w:lineRule="auto"/>
            </w:pPr>
            <w:r/>
          </w:p>
        </w:tc>
        <w:tc>
          <w:tcPr>
            <w:tcW w:type="dxa" w:w="2304"/>
          </w:tcPr>
          <w:p>
            <w:pPr>
              <w:spacing w:after="20" w:line="240" w:lineRule="auto"/>
            </w:pPr>
            <w:r/>
          </w:p>
        </w:tc>
        <w:tc>
          <w:tcPr>
            <w:tcW w:type="dxa" w:w="1440"/>
          </w:tcPr>
          <w:p>
            <w:pPr>
              <w:spacing w:after="20" w:line="240" w:lineRule="auto"/>
            </w:pPr>
            <w:r/>
          </w:p>
        </w:tc>
      </w:tr>
      <w:tr>
        <w:trPr>
          <w:cantSplit w:val="true"/>
        </w:trPr>
        <w:tc>
          <w:tcPr>
            <w:tcW w:type="dxa" w:w="3744"/>
            <w:shd w:val="clear" w:color="auto" w:fill="DCE6F1"/>
          </w:tcPr>
          <w:p>
            <w:pPr>
              <w:spacing w:after="20" w:line="240" w:lineRule="auto"/>
            </w:pPr>
            <w:r>
              <w:rPr>
                <w:b/>
              </w:rPr>
            </w:r>
            <w:r>
              <w:rPr>
                <w:b/>
                <w:sz w:val="18"/>
              </w:rPr>
              <w:t>Units corrected / retrieved</w:t>
            </w:r>
          </w:p>
        </w:tc>
        <w:tc>
          <w:tcPr>
            <w:tcW w:type="dxa" w:w="1872"/>
          </w:tcPr>
          <w:p>
            <w:pPr>
              <w:spacing w:after="20" w:line="240" w:lineRule="auto"/>
            </w:pPr>
            <w:r/>
          </w:p>
        </w:tc>
        <w:tc>
          <w:tcPr>
            <w:tcW w:type="dxa" w:w="2304"/>
          </w:tcPr>
          <w:p>
            <w:pPr>
              <w:spacing w:after="20" w:line="240" w:lineRule="auto"/>
            </w:pPr>
            <w:r/>
          </w:p>
        </w:tc>
        <w:tc>
          <w:tcPr>
            <w:tcW w:type="dxa" w:w="1440"/>
          </w:tcPr>
          <w:p>
            <w:pPr>
              <w:spacing w:after="20" w:line="240" w:lineRule="auto"/>
            </w:pPr>
            <w:r/>
          </w:p>
        </w:tc>
      </w:tr>
    </w:tbl>
    <w:p>
      <w:pPr>
        <w:spacing w:after="0" w:before="0" w:line="80" w:lineRule="exact"/>
      </w:pPr>
      <w:r>
        <w:rPr>
          <w:sz w:val="8"/>
        </w:rPr>
      </w:r>
    </w:p>
    <w:p>
      <w:pPr>
        <w:pStyle w:val="Heading3"/>
      </w:pPr>
      <w:r>
        <w:t>Approval to issue</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168"/>
        <w:gridCol w:w="2592"/>
        <w:gridCol w:w="2304"/>
        <w:gridCol w:w="1296"/>
      </w:tblGrid>
      <w:tr>
        <w:trPr>
          <w:tblHeader w:val="true"/>
          <w:cantSplit w:val="true"/>
        </w:trPr>
        <w:tc>
          <w:tcPr>
            <w:tcW w:type="dxa" w:w="3168"/>
            <w:shd w:val="clear" w:color="auto" w:fill="17375E"/>
            <w:vAlign w:val="center"/>
          </w:tcPr>
          <w:p>
            <w:pPr>
              <w:spacing w:after="20" w:line="240" w:lineRule="auto"/>
            </w:pPr>
            <w:r>
              <w:rPr>
                <w:b/>
              </w:rPr>
            </w:r>
            <w:r>
              <w:rPr>
                <w:b/>
                <w:color w:val="FFFFFF"/>
                <w:sz w:val="18"/>
              </w:rPr>
              <w:t>Role</w:t>
            </w:r>
          </w:p>
        </w:tc>
        <w:tc>
          <w:tcPr>
            <w:tcW w:type="dxa" w:w="2592"/>
            <w:shd w:val="clear" w:color="auto" w:fill="17375E"/>
            <w:vAlign w:val="center"/>
          </w:tcPr>
          <w:p>
            <w:pPr>
              <w:spacing w:after="20" w:line="240" w:lineRule="auto"/>
            </w:pPr>
            <w:r>
              <w:rPr>
                <w:b/>
              </w:rPr>
            </w:r>
            <w:r>
              <w:rPr>
                <w:b/>
                <w:color w:val="FFFFFF"/>
                <w:sz w:val="18"/>
              </w:rPr>
              <w:t>Name</w:t>
            </w:r>
          </w:p>
        </w:tc>
        <w:tc>
          <w:tcPr>
            <w:tcW w:type="dxa" w:w="2304"/>
            <w:shd w:val="clear" w:color="auto" w:fill="17375E"/>
            <w:vAlign w:val="center"/>
          </w:tcPr>
          <w:p>
            <w:pPr>
              <w:spacing w:after="20" w:line="240" w:lineRule="auto"/>
            </w:pPr>
            <w:r>
              <w:rPr>
                <w:b/>
              </w:rPr>
            </w:r>
            <w:r>
              <w:rPr>
                <w:b/>
                <w:color w:val="FFFFFF"/>
                <w:sz w:val="18"/>
              </w:rPr>
              <w:t>Signature</w:t>
            </w:r>
          </w:p>
        </w:tc>
        <w:tc>
          <w:tcPr>
            <w:tcW w:type="dxa" w:w="1296"/>
            <w:shd w:val="clear" w:color="auto" w:fill="17375E"/>
            <w:vAlign w:val="center"/>
          </w:tcPr>
          <w:p>
            <w:pPr>
              <w:spacing w:after="20" w:line="240" w:lineRule="auto"/>
            </w:pPr>
            <w:r>
              <w:rPr>
                <w:b/>
              </w:rPr>
            </w:r>
            <w:r>
              <w:rPr>
                <w:b/>
                <w:color w:val="FFFFFF"/>
                <w:sz w:val="18"/>
              </w:rPr>
              <w:t>Date</w:t>
            </w:r>
          </w:p>
        </w:tc>
      </w:tr>
      <w:tr>
        <w:trPr>
          <w:cantSplit w:val="true"/>
        </w:trPr>
        <w:tc>
          <w:tcPr>
            <w:tcW w:type="dxa" w:w="3168"/>
            <w:shd w:val="clear" w:color="auto" w:fill="DCE6F1"/>
          </w:tcPr>
          <w:p>
            <w:pPr>
              <w:spacing w:after="20" w:line="240" w:lineRule="auto"/>
            </w:pPr>
            <w:r>
              <w:rPr>
                <w:b/>
              </w:rPr>
            </w:r>
            <w:r>
              <w:rPr>
                <w:b/>
                <w:sz w:val="18"/>
              </w:rPr>
              <w:t>Vigilance lead</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r>
        <w:trPr>
          <w:cantSplit w:val="true"/>
        </w:trPr>
        <w:tc>
          <w:tcPr>
            <w:tcW w:type="dxa" w:w="3168"/>
            <w:shd w:val="clear" w:color="auto" w:fill="DCE6F1"/>
          </w:tcPr>
          <w:p>
            <w:pPr>
              <w:spacing w:after="20" w:line="240" w:lineRule="auto"/>
            </w:pPr>
            <w:r>
              <w:rPr>
                <w:b/>
              </w:rPr>
            </w:r>
            <w:r>
              <w:rPr>
                <w:b/>
                <w:sz w:val="18"/>
              </w:rPr>
              <w:t>Clinical lead</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r>
        <w:trPr>
          <w:cantSplit w:val="true"/>
        </w:trPr>
        <w:tc>
          <w:tcPr>
            <w:tcW w:type="dxa" w:w="3168"/>
            <w:shd w:val="clear" w:color="auto" w:fill="DCE6F1"/>
          </w:tcPr>
          <w:p>
            <w:pPr>
              <w:spacing w:after="20" w:line="240" w:lineRule="auto"/>
            </w:pPr>
            <w:r>
              <w:rPr>
                <w:b/>
              </w:rPr>
            </w:r>
            <w:r>
              <w:rPr>
                <w:b/>
                <w:sz w:val="18"/>
              </w:rPr>
              <w:t>Regulatory affairs</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r>
        <w:trPr>
          <w:cantSplit w:val="true"/>
        </w:trPr>
        <w:tc>
          <w:tcPr>
            <w:tcW w:type="dxa" w:w="3168"/>
            <w:shd w:val="clear" w:color="auto" w:fill="DCE6F1"/>
          </w:tcPr>
          <w:p>
            <w:pPr>
              <w:spacing w:after="20" w:line="240" w:lineRule="auto"/>
            </w:pPr>
            <w:r>
              <w:rPr>
                <w:b/>
              </w:rPr>
            </w:r>
            <w:r>
              <w:rPr>
                <w:b/>
                <w:sz w:val="18"/>
              </w:rPr>
              <w:t>Quality lead</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bl>
    <w:p>
      <w:pPr>
        <w:spacing w:after="0" w:before="0" w:line="80" w:lineRule="exact"/>
      </w:pPr>
      <w:r>
        <w:rPr>
          <w:sz w:val="8"/>
        </w:rPr>
      </w:r>
    </w:p>
    <w:p>
      <w:pPr>
        <w:pStyle w:val="Heading1"/>
        <w:pageBreakBefore/>
      </w:pPr>
      <w:r>
        <w:t>Example (fictional case)</w:t>
      </w:r>
    </w:p>
    <w:p>
      <w:r>
        <w:rPr>
          <w:b w:val="0"/>
          <w:i/>
          <w:color w:val="595959"/>
          <w:sz w:val="18"/>
        </w:rPr>
        <w:t>All names, numbers and events below are fictional composites from the book's case dossiers. They show the expected level of detail, not a regulatory standard. Glucalyn insulin pump, first draft and revised notice.</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4031"/>
        <w:gridCol w:w="1584"/>
        <w:gridCol w:w="2160"/>
        <w:gridCol w:w="1584"/>
      </w:tblGrid>
      <w:tr>
        <w:trPr>
          <w:tblHeader w:val="true"/>
          <w:cantSplit w:val="true"/>
        </w:trPr>
        <w:tc>
          <w:tcPr>
            <w:tcW w:type="dxa" w:w="4032"/>
            <w:shd w:val="clear" w:color="auto" w:fill="17375E"/>
            <w:vAlign w:val="center"/>
          </w:tcPr>
          <w:p>
            <w:pPr>
              <w:spacing w:after="20" w:line="240" w:lineRule="auto"/>
            </w:pPr>
            <w:r>
              <w:rPr>
                <w:b/>
              </w:rPr>
            </w:r>
            <w:r>
              <w:rPr>
                <w:b/>
                <w:color w:val="FFFFFF"/>
                <w:sz w:val="17"/>
              </w:rPr>
              <w:t>Check</w:t>
            </w:r>
          </w:p>
        </w:tc>
        <w:tc>
          <w:tcPr>
            <w:tcW w:type="dxa" w:w="1584"/>
            <w:shd w:val="clear" w:color="auto" w:fill="17375E"/>
            <w:vAlign w:val="center"/>
          </w:tcPr>
          <w:p>
            <w:pPr>
              <w:spacing w:after="20" w:line="240" w:lineRule="auto"/>
            </w:pPr>
            <w:r>
              <w:rPr>
                <w:b/>
              </w:rPr>
            </w:r>
            <w:r>
              <w:rPr>
                <w:b/>
                <w:color w:val="FFFFFF"/>
                <w:sz w:val="17"/>
              </w:rPr>
              <w:t>First draft</w:t>
            </w:r>
          </w:p>
        </w:tc>
        <w:tc>
          <w:tcPr>
            <w:tcW w:type="dxa" w:w="2160"/>
            <w:shd w:val="clear" w:color="auto" w:fill="17375E"/>
            <w:vAlign w:val="center"/>
          </w:tcPr>
          <w:p>
            <w:pPr>
              <w:spacing w:after="20" w:line="240" w:lineRule="auto"/>
            </w:pPr>
            <w:r>
              <w:rPr>
                <w:b/>
              </w:rPr>
            </w:r>
            <w:r>
              <w:rPr>
                <w:b/>
                <w:color w:val="FFFFFF"/>
                <w:sz w:val="17"/>
              </w:rPr>
              <w:t>Revised notice</w:t>
            </w:r>
          </w:p>
        </w:tc>
        <w:tc>
          <w:tcPr>
            <w:tcW w:type="dxa" w:w="1584"/>
            <w:shd w:val="clear" w:color="auto" w:fill="17375E"/>
            <w:vAlign w:val="center"/>
          </w:tcPr>
          <w:p>
            <w:pPr>
              <w:spacing w:after="20" w:line="240" w:lineRule="auto"/>
            </w:pPr>
            <w:r>
              <w:rPr>
                <w:b/>
              </w:rPr>
            </w:r>
            <w:r>
              <w:rPr>
                <w:b/>
                <w:color w:val="FFFFFF"/>
                <w:sz w:val="17"/>
              </w:rPr>
              <w:t>Owner</w:t>
            </w:r>
          </w:p>
        </w:tc>
      </w:tr>
      <w:tr>
        <w:trPr>
          <w:cantSplit w:val="true"/>
        </w:trPr>
        <w:tc>
          <w:tcPr>
            <w:tcW w:type="dxa" w:w="4032"/>
            <w:shd w:val="clear" w:color="auto" w:fill="DCE6F1"/>
          </w:tcPr>
          <w:p>
            <w:pPr>
              <w:spacing w:after="20" w:line="240" w:lineRule="auto"/>
            </w:pPr>
            <w:r>
              <w:rPr>
                <w:b/>
              </w:rPr>
            </w:r>
            <w:r>
              <w:rPr>
                <w:b/>
                <w:sz w:val="17"/>
              </w:rPr>
              <w:t>Title says "Urgent Field Safety Notice" and names the device</w:t>
            </w:r>
          </w:p>
        </w:tc>
        <w:tc>
          <w:tcPr>
            <w:tcW w:type="dxa" w:w="1584"/>
          </w:tcPr>
          <w:p>
            <w:pPr>
              <w:spacing w:after="20" w:line="240" w:lineRule="auto"/>
            </w:pPr>
            <w:r/>
            <w:r>
              <w:rPr>
                <w:b w:val="0"/>
                <w:sz w:val="17"/>
              </w:rPr>
              <w:t>No</w:t>
            </w:r>
          </w:p>
        </w:tc>
        <w:tc>
          <w:tcPr>
            <w:tcW w:type="dxa" w:w="2160"/>
          </w:tcPr>
          <w:p>
            <w:pPr>
              <w:spacing w:after="20" w:line="240" w:lineRule="auto"/>
            </w:pPr>
            <w:r/>
            <w:r>
              <w:rPr>
                <w:b w:val="0"/>
                <w:sz w:val="17"/>
              </w:rPr>
              <w:t>Yes</w:t>
            </w:r>
          </w:p>
        </w:tc>
        <w:tc>
          <w:tcPr>
            <w:tcW w:type="dxa" w:w="1584"/>
          </w:tcPr>
          <w:p>
            <w:pPr>
              <w:spacing w:after="20" w:line="240" w:lineRule="auto"/>
            </w:pPr>
            <w:r/>
            <w:r>
              <w:rPr>
                <w:b w:val="0"/>
                <w:sz w:val="17"/>
              </w:rPr>
              <w:t>Vigilance lead</w:t>
            </w:r>
          </w:p>
        </w:tc>
      </w:tr>
      <w:tr>
        <w:trPr>
          <w:cantSplit w:val="true"/>
        </w:trPr>
        <w:tc>
          <w:tcPr>
            <w:tcW w:type="dxa" w:w="4032"/>
            <w:shd w:val="clear" w:color="auto" w:fill="DCE6F1"/>
          </w:tcPr>
          <w:p>
            <w:pPr>
              <w:spacing w:after="20" w:line="240" w:lineRule="auto"/>
            </w:pPr>
            <w:r>
              <w:rPr>
                <w:b/>
              </w:rPr>
            </w:r>
            <w:r>
              <w:rPr>
                <w:b/>
                <w:sz w:val="17"/>
              </w:rPr>
              <w:t>Affected devices identified by the attribute that carries the fault, with how to check</w:t>
            </w:r>
          </w:p>
        </w:tc>
        <w:tc>
          <w:tcPr>
            <w:tcW w:type="dxa" w:w="1584"/>
          </w:tcPr>
          <w:p>
            <w:pPr>
              <w:spacing w:after="20" w:line="240" w:lineRule="auto"/>
            </w:pPr>
            <w:r/>
            <w:r>
              <w:rPr>
                <w:b w:val="0"/>
                <w:sz w:val="17"/>
              </w:rPr>
              <w:t>No (catalog number)</w:t>
            </w:r>
          </w:p>
        </w:tc>
        <w:tc>
          <w:tcPr>
            <w:tcW w:type="dxa" w:w="2160"/>
          </w:tcPr>
          <w:p>
            <w:pPr>
              <w:spacing w:after="20" w:line="240" w:lineRule="auto"/>
            </w:pPr>
            <w:r/>
            <w:r>
              <w:rPr>
                <w:b w:val="0"/>
                <w:sz w:val="17"/>
              </w:rPr>
              <w:t>Yes (software v3.2; information screen)</w:t>
            </w:r>
          </w:p>
        </w:tc>
        <w:tc>
          <w:tcPr>
            <w:tcW w:type="dxa" w:w="1584"/>
          </w:tcPr>
          <w:p>
            <w:pPr>
              <w:spacing w:after="20" w:line="240" w:lineRule="auto"/>
            </w:pPr>
            <w:r/>
            <w:r>
              <w:rPr>
                <w:b w:val="0"/>
                <w:sz w:val="17"/>
              </w:rPr>
              <w:t>Vigilance lead</w:t>
            </w:r>
          </w:p>
        </w:tc>
      </w:tr>
      <w:tr>
        <w:trPr>
          <w:cantSplit w:val="true"/>
        </w:trPr>
        <w:tc>
          <w:tcPr>
            <w:tcW w:type="dxa" w:w="4032"/>
            <w:shd w:val="clear" w:color="auto" w:fill="DCE6F1"/>
          </w:tcPr>
          <w:p>
            <w:pPr>
              <w:spacing w:after="20" w:line="240" w:lineRule="auto"/>
            </w:pPr>
            <w:r>
              <w:rPr>
                <w:b/>
              </w:rPr>
            </w:r>
            <w:r>
              <w:rPr>
                <w:b/>
                <w:sz w:val="17"/>
              </w:rPr>
              <w:t>Unaffected users told whether they need to act</w:t>
            </w:r>
          </w:p>
        </w:tc>
        <w:tc>
          <w:tcPr>
            <w:tcW w:type="dxa" w:w="1584"/>
          </w:tcPr>
          <w:p>
            <w:pPr>
              <w:spacing w:after="20" w:line="240" w:lineRule="auto"/>
            </w:pPr>
            <w:r/>
            <w:r>
              <w:rPr>
                <w:b w:val="0"/>
                <w:sz w:val="17"/>
              </w:rPr>
              <w:t>No</w:t>
            </w:r>
          </w:p>
        </w:tc>
        <w:tc>
          <w:tcPr>
            <w:tcW w:type="dxa" w:w="2160"/>
          </w:tcPr>
          <w:p>
            <w:pPr>
              <w:spacing w:after="20" w:line="240" w:lineRule="auto"/>
            </w:pPr>
            <w:r/>
            <w:r>
              <w:rPr>
                <w:b w:val="0"/>
                <w:sz w:val="17"/>
              </w:rPr>
              <w:t>Yes (v3.1)</w:t>
            </w:r>
          </w:p>
        </w:tc>
        <w:tc>
          <w:tcPr>
            <w:tcW w:type="dxa" w:w="1584"/>
          </w:tcPr>
          <w:p>
            <w:pPr>
              <w:spacing w:after="20" w:line="240" w:lineRule="auto"/>
            </w:pPr>
            <w:r/>
            <w:r>
              <w:rPr>
                <w:b w:val="0"/>
                <w:sz w:val="17"/>
              </w:rPr>
              <w:t>Vigilance lead</w:t>
            </w:r>
          </w:p>
        </w:tc>
      </w:tr>
      <w:tr>
        <w:trPr>
          <w:cantSplit w:val="true"/>
        </w:trPr>
        <w:tc>
          <w:tcPr>
            <w:tcW w:type="dxa" w:w="4032"/>
            <w:shd w:val="clear" w:color="auto" w:fill="DCE6F1"/>
          </w:tcPr>
          <w:p>
            <w:pPr>
              <w:spacing w:after="20" w:line="240" w:lineRule="auto"/>
            </w:pPr>
            <w:r>
              <w:rPr>
                <w:b/>
              </w:rPr>
            </w:r>
            <w:r>
              <w:rPr>
                <w:b/>
                <w:sz w:val="17"/>
              </w:rPr>
              <w:t>Required action in the first lines, as one imperative sentence</w:t>
            </w:r>
          </w:p>
        </w:tc>
        <w:tc>
          <w:tcPr>
            <w:tcW w:type="dxa" w:w="1584"/>
          </w:tcPr>
          <w:p>
            <w:pPr>
              <w:spacing w:after="20" w:line="240" w:lineRule="auto"/>
            </w:pPr>
            <w:r/>
            <w:r>
              <w:rPr>
                <w:b w:val="0"/>
                <w:sz w:val="17"/>
              </w:rPr>
              <w:t>No (page two)</w:t>
            </w:r>
          </w:p>
        </w:tc>
        <w:tc>
          <w:tcPr>
            <w:tcW w:type="dxa" w:w="2160"/>
          </w:tcPr>
          <w:p>
            <w:pPr>
              <w:spacing w:after="20" w:line="240" w:lineRule="auto"/>
            </w:pPr>
            <w:r/>
            <w:r>
              <w:rPr>
                <w:b w:val="0"/>
                <w:sz w:val="17"/>
              </w:rPr>
              <w:t>Yes</w:t>
            </w:r>
          </w:p>
        </w:tc>
        <w:tc>
          <w:tcPr>
            <w:tcW w:type="dxa" w:w="1584"/>
          </w:tcPr>
          <w:p>
            <w:pPr>
              <w:spacing w:after="20" w:line="240" w:lineRule="auto"/>
            </w:pPr>
            <w:r/>
            <w:r>
              <w:rPr>
                <w:b w:val="0"/>
                <w:sz w:val="17"/>
              </w:rPr>
              <w:t>Clinical lead</w:t>
            </w:r>
          </w:p>
        </w:tc>
      </w:tr>
      <w:tr>
        <w:trPr>
          <w:cantSplit w:val="true"/>
        </w:trPr>
        <w:tc>
          <w:tcPr>
            <w:tcW w:type="dxa" w:w="4032"/>
            <w:shd w:val="clear" w:color="auto" w:fill="DCE6F1"/>
          </w:tcPr>
          <w:p>
            <w:pPr>
              <w:spacing w:after="20" w:line="240" w:lineRule="auto"/>
            </w:pPr>
            <w:r>
              <w:rPr>
                <w:b/>
              </w:rPr>
            </w:r>
            <w:r>
              <w:rPr>
                <w:b/>
                <w:sz w:val="17"/>
              </w:rPr>
              <w:t>Interim action separated from the permanent correction</w:t>
            </w:r>
          </w:p>
        </w:tc>
        <w:tc>
          <w:tcPr>
            <w:tcW w:type="dxa" w:w="1584"/>
          </w:tcPr>
          <w:p>
            <w:pPr>
              <w:spacing w:after="20" w:line="240" w:lineRule="auto"/>
            </w:pPr>
            <w:r/>
            <w:r>
              <w:rPr>
                <w:b w:val="0"/>
                <w:sz w:val="17"/>
              </w:rPr>
              <w:t>No</w:t>
            </w:r>
          </w:p>
        </w:tc>
        <w:tc>
          <w:tcPr>
            <w:tcW w:type="dxa" w:w="2160"/>
          </w:tcPr>
          <w:p>
            <w:pPr>
              <w:spacing w:after="20" w:line="240" w:lineRule="auto"/>
            </w:pPr>
            <w:r/>
            <w:r>
              <w:rPr>
                <w:b w:val="0"/>
                <w:sz w:val="17"/>
              </w:rPr>
              <w:t>Yes</w:t>
            </w:r>
          </w:p>
        </w:tc>
        <w:tc>
          <w:tcPr>
            <w:tcW w:type="dxa" w:w="1584"/>
          </w:tcPr>
          <w:p>
            <w:pPr>
              <w:spacing w:after="20" w:line="240" w:lineRule="auto"/>
            </w:pPr>
            <w:r/>
            <w:r>
              <w:rPr>
                <w:b w:val="0"/>
                <w:sz w:val="17"/>
              </w:rPr>
              <w:t>Clinical lead</w:t>
            </w:r>
          </w:p>
        </w:tc>
      </w:tr>
      <w:tr>
        <w:trPr>
          <w:cantSplit w:val="true"/>
        </w:trPr>
        <w:tc>
          <w:tcPr>
            <w:tcW w:type="dxa" w:w="4032"/>
            <w:shd w:val="clear" w:color="auto" w:fill="DCE6F1"/>
          </w:tcPr>
          <w:p>
            <w:pPr>
              <w:spacing w:after="20" w:line="240" w:lineRule="auto"/>
            </w:pPr>
            <w:r>
              <w:rPr>
                <w:b/>
              </w:rPr>
            </w:r>
            <w:r>
              <w:rPr>
                <w:b/>
                <w:sz w:val="17"/>
              </w:rPr>
              <w:t>No release date promised for an unverified correction</w:t>
            </w:r>
          </w:p>
        </w:tc>
        <w:tc>
          <w:tcPr>
            <w:tcW w:type="dxa" w:w="1584"/>
          </w:tcPr>
          <w:p>
            <w:pPr>
              <w:spacing w:after="20" w:line="240" w:lineRule="auto"/>
            </w:pPr>
            <w:r/>
            <w:r>
              <w:rPr>
                <w:b w:val="0"/>
                <w:sz w:val="17"/>
              </w:rPr>
              <w:t>Not applicable</w:t>
            </w:r>
          </w:p>
        </w:tc>
        <w:tc>
          <w:tcPr>
            <w:tcW w:type="dxa" w:w="2160"/>
          </w:tcPr>
          <w:p>
            <w:pPr>
              <w:spacing w:after="20" w:line="240" w:lineRule="auto"/>
            </w:pPr>
            <w:r/>
            <w:r>
              <w:rPr>
                <w:b w:val="0"/>
                <w:sz w:val="17"/>
              </w:rPr>
              <w:t>Yes</w:t>
            </w:r>
          </w:p>
        </w:tc>
        <w:tc>
          <w:tcPr>
            <w:tcW w:type="dxa" w:w="1584"/>
          </w:tcPr>
          <w:p>
            <w:pPr>
              <w:spacing w:after="20" w:line="240" w:lineRule="auto"/>
            </w:pPr>
            <w:r/>
            <w:r>
              <w:rPr>
                <w:b w:val="0"/>
                <w:sz w:val="17"/>
              </w:rPr>
              <w:t>Engineering lead</w:t>
            </w:r>
          </w:p>
        </w:tc>
      </w:tr>
      <w:tr>
        <w:trPr>
          <w:cantSplit w:val="true"/>
        </w:trPr>
        <w:tc>
          <w:tcPr>
            <w:tcW w:type="dxa" w:w="4032"/>
            <w:shd w:val="clear" w:color="auto" w:fill="DCE6F1"/>
          </w:tcPr>
          <w:p>
            <w:pPr>
              <w:spacing w:after="20" w:line="240" w:lineRule="auto"/>
            </w:pPr>
            <w:r>
              <w:rPr>
                <w:b/>
              </w:rPr>
            </w:r>
            <w:r>
              <w:rPr>
                <w:b/>
                <w:sz w:val="17"/>
              </w:rPr>
              <w:t>Response form and pass-on instructions included</w:t>
            </w:r>
          </w:p>
        </w:tc>
        <w:tc>
          <w:tcPr>
            <w:tcW w:type="dxa" w:w="1584"/>
          </w:tcPr>
          <w:p>
            <w:pPr>
              <w:spacing w:after="20" w:line="240" w:lineRule="auto"/>
            </w:pPr>
            <w:r/>
            <w:r>
              <w:rPr>
                <w:b w:val="0"/>
                <w:sz w:val="17"/>
              </w:rPr>
              <w:t>No</w:t>
            </w:r>
          </w:p>
        </w:tc>
        <w:tc>
          <w:tcPr>
            <w:tcW w:type="dxa" w:w="2160"/>
          </w:tcPr>
          <w:p>
            <w:pPr>
              <w:spacing w:after="20" w:line="240" w:lineRule="auto"/>
            </w:pPr>
            <w:r/>
            <w:r>
              <w:rPr>
                <w:b w:val="0"/>
                <w:sz w:val="17"/>
              </w:rPr>
              <w:t>Yes</w:t>
            </w:r>
          </w:p>
        </w:tc>
        <w:tc>
          <w:tcPr>
            <w:tcW w:type="dxa" w:w="1584"/>
          </w:tcPr>
          <w:p>
            <w:pPr>
              <w:spacing w:after="20" w:line="240" w:lineRule="auto"/>
            </w:pPr>
            <w:r/>
            <w:r>
              <w:rPr>
                <w:b w:val="0"/>
                <w:sz w:val="17"/>
              </w:rPr>
              <w:t>Quality lead</w:t>
            </w:r>
          </w:p>
        </w:tc>
      </w:tr>
      <w:tr>
        <w:trPr>
          <w:cantSplit w:val="true"/>
        </w:trPr>
        <w:tc>
          <w:tcPr>
            <w:tcW w:type="dxa" w:w="4032"/>
            <w:shd w:val="clear" w:color="auto" w:fill="DCE6F1"/>
          </w:tcPr>
          <w:p>
            <w:pPr>
              <w:spacing w:after="20" w:line="240" w:lineRule="auto"/>
            </w:pPr>
            <w:r>
              <w:rPr>
                <w:b/>
              </w:rPr>
            </w:r>
            <w:r>
              <w:rPr>
                <w:b/>
                <w:sz w:val="17"/>
              </w:rPr>
              <w:t>Proposed notice sent to MHRA before customers; FSCA reported in the EU before the action starts</w:t>
            </w:r>
          </w:p>
        </w:tc>
        <w:tc>
          <w:tcPr>
            <w:tcW w:type="dxa" w:w="1584"/>
          </w:tcPr>
          <w:p>
            <w:pPr>
              <w:spacing w:after="20" w:line="240" w:lineRule="auto"/>
            </w:pPr>
            <w:r/>
            <w:r>
              <w:rPr>
                <w:b w:val="0"/>
                <w:sz w:val="17"/>
              </w:rPr>
              <w:t>Not started</w:t>
            </w:r>
          </w:p>
        </w:tc>
        <w:tc>
          <w:tcPr>
            <w:tcW w:type="dxa" w:w="2160"/>
          </w:tcPr>
          <w:p>
            <w:pPr>
              <w:spacing w:after="20" w:line="240" w:lineRule="auto"/>
            </w:pPr>
            <w:r/>
            <w:r>
              <w:rPr>
                <w:b w:val="0"/>
                <w:sz w:val="17"/>
              </w:rPr>
              <w:t>Planned with dates</w:t>
            </w:r>
          </w:p>
        </w:tc>
        <w:tc>
          <w:tcPr>
            <w:tcW w:type="dxa" w:w="1584"/>
          </w:tcPr>
          <w:p>
            <w:pPr>
              <w:spacing w:after="20" w:line="240" w:lineRule="auto"/>
            </w:pPr>
            <w:r/>
            <w:r>
              <w:rPr>
                <w:b w:val="0"/>
                <w:sz w:val="17"/>
              </w:rPr>
              <w:t>Regulatory affairs</w:t>
            </w:r>
          </w:p>
        </w:tc>
      </w:tr>
      <w:tr>
        <w:trPr>
          <w:cantSplit w:val="true"/>
        </w:trPr>
        <w:tc>
          <w:tcPr>
            <w:tcW w:type="dxa" w:w="4032"/>
            <w:shd w:val="clear" w:color="auto" w:fill="DCE6F1"/>
          </w:tcPr>
          <w:p>
            <w:pPr>
              <w:spacing w:after="20" w:line="240" w:lineRule="auto"/>
            </w:pPr>
            <w:r>
              <w:rPr>
                <w:b/>
              </w:rPr>
            </w:r>
            <w:r>
              <w:rPr>
                <w:b/>
                <w:sz w:val="17"/>
              </w:rPr>
              <w:t>Effectiveness check defined in the FSCA file</w:t>
            </w:r>
          </w:p>
        </w:tc>
        <w:tc>
          <w:tcPr>
            <w:tcW w:type="dxa" w:w="1584"/>
          </w:tcPr>
          <w:p>
            <w:pPr>
              <w:spacing w:after="20" w:line="240" w:lineRule="auto"/>
            </w:pPr>
            <w:r/>
            <w:r>
              <w:rPr>
                <w:b w:val="0"/>
                <w:sz w:val="17"/>
              </w:rPr>
              <w:t>No</w:t>
            </w:r>
          </w:p>
        </w:tc>
        <w:tc>
          <w:tcPr>
            <w:tcW w:type="dxa" w:w="2160"/>
          </w:tcPr>
          <w:p>
            <w:pPr>
              <w:spacing w:after="20" w:line="240" w:lineRule="auto"/>
            </w:pPr>
            <w:r/>
            <w:r>
              <w:rPr>
                <w:b w:val="0"/>
                <w:sz w:val="17"/>
              </w:rPr>
              <w:t>Yes</w:t>
            </w:r>
          </w:p>
        </w:tc>
        <w:tc>
          <w:tcPr>
            <w:tcW w:type="dxa" w:w="1584"/>
          </w:tcPr>
          <w:p>
            <w:pPr>
              <w:spacing w:after="20" w:line="240" w:lineRule="auto"/>
            </w:pPr>
            <w:r/>
            <w:r>
              <w:rPr>
                <w:b w:val="0"/>
                <w:sz w:val="17"/>
              </w:rPr>
              <w:t>Quality lead</w:t>
            </w:r>
          </w:p>
        </w:tc>
      </w:tr>
    </w:tbl>
    <w:p>
      <w:pPr>
        <w:spacing w:after="160"/>
      </w:pPr>
      <w:r>
        <w:rPr>
          <w:i/>
          <w:color w:val="595959"/>
          <w:sz w:val="17"/>
        </w:rPr>
        <w:t>Table 21.3 — Tool T-19 extract, completed for the Glucalyn drafts.</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1152"/>
        <w:gridCol w:w="3744"/>
        <w:gridCol w:w="4464"/>
      </w:tblGrid>
      <w:tr>
        <w:trPr>
          <w:tblHeader w:val="true"/>
          <w:cantSplit w:val="true"/>
        </w:trPr>
        <w:tc>
          <w:tcPr>
            <w:tcW w:type="dxa" w:w="1152"/>
            <w:shd w:val="clear" w:color="auto" w:fill="17375E"/>
            <w:vAlign w:val="center"/>
          </w:tcPr>
          <w:p>
            <w:pPr>
              <w:spacing w:after="20" w:line="240" w:lineRule="auto"/>
            </w:pPr>
            <w:r>
              <w:rPr>
                <w:b/>
              </w:rPr>
            </w:r>
            <w:r>
              <w:rPr>
                <w:b/>
                <w:color w:val="FFFFFF"/>
                <w:sz w:val="17"/>
              </w:rPr>
              <w:t>Position</w:t>
            </w:r>
          </w:p>
        </w:tc>
        <w:tc>
          <w:tcPr>
            <w:tcW w:type="dxa" w:w="3744"/>
            <w:shd w:val="clear" w:color="auto" w:fill="17375E"/>
            <w:vAlign w:val="center"/>
          </w:tcPr>
          <w:p>
            <w:pPr>
              <w:spacing w:after="20" w:line="240" w:lineRule="auto"/>
            </w:pPr>
            <w:r>
              <w:rPr>
                <w:b/>
              </w:rPr>
            </w:r>
            <w:r>
              <w:rPr>
                <w:b/>
                <w:color w:val="FFFFFF"/>
                <w:sz w:val="17"/>
              </w:rPr>
              <w:t>First draft</w:t>
            </w:r>
          </w:p>
        </w:tc>
        <w:tc>
          <w:tcPr>
            <w:tcW w:type="dxa" w:w="4464"/>
            <w:shd w:val="clear" w:color="auto" w:fill="17375E"/>
            <w:vAlign w:val="center"/>
          </w:tcPr>
          <w:p>
            <w:pPr>
              <w:spacing w:after="20" w:line="240" w:lineRule="auto"/>
            </w:pPr>
            <w:r>
              <w:rPr>
                <w:b/>
              </w:rPr>
            </w:r>
            <w:r>
              <w:rPr>
                <w:b/>
                <w:color w:val="FFFFFF"/>
                <w:sz w:val="17"/>
              </w:rPr>
              <w:t>Revised notice</w:t>
            </w:r>
          </w:p>
        </w:tc>
      </w:tr>
      <w:tr>
        <w:trPr>
          <w:cantSplit w:val="true"/>
        </w:trPr>
        <w:tc>
          <w:tcPr>
            <w:tcW w:type="dxa" w:w="1152"/>
            <w:shd w:val="clear" w:color="auto" w:fill="DCE6F1"/>
          </w:tcPr>
          <w:p>
            <w:pPr>
              <w:spacing w:after="20" w:line="240" w:lineRule="auto"/>
            </w:pPr>
            <w:r>
              <w:rPr>
                <w:b/>
              </w:rPr>
            </w:r>
            <w:r>
              <w:rPr>
                <w:b/>
                <w:sz w:val="17"/>
              </w:rPr>
              <w:t>1</w:t>
            </w:r>
          </w:p>
        </w:tc>
        <w:tc>
          <w:tcPr>
            <w:tcW w:type="dxa" w:w="3744"/>
          </w:tcPr>
          <w:p>
            <w:pPr>
              <w:spacing w:after="20" w:line="240" w:lineRule="auto"/>
            </w:pPr>
            <w:r/>
            <w:r>
              <w:rPr>
                <w:b w:val="0"/>
                <w:sz w:val="17"/>
              </w:rPr>
              <w:t>"Important Product Information" and company letterhead</w:t>
            </w:r>
          </w:p>
        </w:tc>
        <w:tc>
          <w:tcPr>
            <w:tcW w:type="dxa" w:w="4464"/>
          </w:tcPr>
          <w:p>
            <w:pPr>
              <w:spacing w:after="20" w:line="240" w:lineRule="auto"/>
            </w:pPr>
            <w:r/>
            <w:r>
              <w:rPr>
                <w:b w:val="0"/>
                <w:sz w:val="17"/>
              </w:rPr>
              <w:t>"Urgent Field Safety Notice", device, software version, one-line risk</w:t>
            </w:r>
          </w:p>
        </w:tc>
      </w:tr>
      <w:tr>
        <w:trPr>
          <w:cantSplit w:val="true"/>
        </w:trPr>
        <w:tc>
          <w:tcPr>
            <w:tcW w:type="dxa" w:w="1152"/>
            <w:shd w:val="clear" w:color="auto" w:fill="DCE6F1"/>
          </w:tcPr>
          <w:p>
            <w:pPr>
              <w:spacing w:after="20" w:line="240" w:lineRule="auto"/>
            </w:pPr>
            <w:r>
              <w:rPr>
                <w:b/>
              </w:rPr>
            </w:r>
            <w:r>
              <w:rPr>
                <w:b/>
                <w:sz w:val="17"/>
              </w:rPr>
              <w:t>2</w:t>
            </w:r>
          </w:p>
        </w:tc>
        <w:tc>
          <w:tcPr>
            <w:tcW w:type="dxa" w:w="3744"/>
          </w:tcPr>
          <w:p>
            <w:pPr>
              <w:spacing w:after="20" w:line="240" w:lineRule="auto"/>
            </w:pPr>
            <w:r/>
            <w:r>
              <w:rPr>
                <w:b w:val="0"/>
                <w:sz w:val="17"/>
              </w:rPr>
              <w:t>Software architecture and v3.2 release history</w:t>
            </w:r>
          </w:p>
        </w:tc>
        <w:tc>
          <w:tcPr>
            <w:tcW w:type="dxa" w:w="4464"/>
          </w:tcPr>
          <w:p>
            <w:pPr>
              <w:spacing w:after="20" w:line="240" w:lineRule="auto"/>
            </w:pPr>
            <w:r/>
            <w:r>
              <w:rPr>
                <w:b w:val="0"/>
                <w:sz w:val="17"/>
              </w:rPr>
              <w:t>Is your pump affected? (v3.2 only; how to check; v3.1 not affected by this problem)</w:t>
            </w:r>
          </w:p>
        </w:tc>
      </w:tr>
      <w:tr>
        <w:trPr>
          <w:cantSplit w:val="true"/>
        </w:trPr>
        <w:tc>
          <w:tcPr>
            <w:tcW w:type="dxa" w:w="1152"/>
            <w:shd w:val="clear" w:color="auto" w:fill="DCE6F1"/>
          </w:tcPr>
          <w:p>
            <w:pPr>
              <w:spacing w:after="20" w:line="240" w:lineRule="auto"/>
            </w:pPr>
            <w:r>
              <w:rPr>
                <w:b/>
              </w:rPr>
            </w:r>
            <w:r>
              <w:rPr>
                <w:b/>
                <w:sz w:val="17"/>
              </w:rPr>
              <w:t>3</w:t>
            </w:r>
          </w:p>
        </w:tc>
        <w:tc>
          <w:tcPr>
            <w:tcW w:type="dxa" w:w="3744"/>
          </w:tcPr>
          <w:p>
            <w:pPr>
              <w:spacing w:after="20" w:line="240" w:lineRule="auto"/>
            </w:pPr>
            <w:r/>
            <w:r>
              <w:rPr>
                <w:b w:val="0"/>
                <w:sz w:val="17"/>
              </w:rPr>
              <w:t>Engineering description of the timing fault</w:t>
            </w:r>
          </w:p>
        </w:tc>
        <w:tc>
          <w:tcPr>
            <w:tcW w:type="dxa" w:w="4464"/>
          </w:tcPr>
          <w:p>
            <w:pPr>
              <w:spacing w:after="20" w:line="240" w:lineRule="auto"/>
            </w:pPr>
            <w:r/>
            <w:r>
              <w:rPr>
                <w:b w:val="0"/>
                <w:sz w:val="17"/>
              </w:rPr>
              <w:t>What to do now: the interim instruction</w:t>
            </w:r>
          </w:p>
        </w:tc>
      </w:tr>
      <w:tr>
        <w:trPr>
          <w:cantSplit w:val="true"/>
        </w:trPr>
        <w:tc>
          <w:tcPr>
            <w:tcW w:type="dxa" w:w="1152"/>
            <w:shd w:val="clear" w:color="auto" w:fill="DCE6F1"/>
          </w:tcPr>
          <w:p>
            <w:pPr>
              <w:spacing w:after="20" w:line="240" w:lineRule="auto"/>
            </w:pPr>
            <w:r>
              <w:rPr>
                <w:b/>
              </w:rPr>
            </w:r>
            <w:r>
              <w:rPr>
                <w:b/>
                <w:sz w:val="17"/>
              </w:rPr>
              <w:t>4</w:t>
            </w:r>
          </w:p>
        </w:tc>
        <w:tc>
          <w:tcPr>
            <w:tcW w:type="dxa" w:w="3744"/>
          </w:tcPr>
          <w:p>
            <w:pPr>
              <w:spacing w:after="20" w:line="240" w:lineRule="auto"/>
            </w:pPr>
            <w:r/>
            <w:r>
              <w:rPr>
                <w:b w:val="0"/>
                <w:sz w:val="17"/>
              </w:rPr>
              <w:t>Investigation summary and complaint statistics</w:t>
            </w:r>
          </w:p>
        </w:tc>
        <w:tc>
          <w:tcPr>
            <w:tcW w:type="dxa" w:w="4464"/>
          </w:tcPr>
          <w:p>
            <w:pPr>
              <w:spacing w:after="20" w:line="240" w:lineRule="auto"/>
            </w:pPr>
            <w:r/>
            <w:r>
              <w:rPr>
                <w:b w:val="0"/>
                <w:sz w:val="17"/>
              </w:rPr>
              <w:t>What happens next: update v3.2.1, and how users will be contacted</w:t>
            </w:r>
          </w:p>
        </w:tc>
      </w:tr>
      <w:tr>
        <w:trPr>
          <w:cantSplit w:val="true"/>
        </w:trPr>
        <w:tc>
          <w:tcPr>
            <w:tcW w:type="dxa" w:w="1152"/>
            <w:shd w:val="clear" w:color="auto" w:fill="DCE6F1"/>
          </w:tcPr>
          <w:p>
            <w:pPr>
              <w:spacing w:after="20" w:line="240" w:lineRule="auto"/>
            </w:pPr>
            <w:r>
              <w:rPr>
                <w:b/>
              </w:rPr>
            </w:r>
            <w:r>
              <w:rPr>
                <w:b/>
                <w:sz w:val="17"/>
              </w:rPr>
              <w:t>5</w:t>
            </w:r>
          </w:p>
        </w:tc>
        <w:tc>
          <w:tcPr>
            <w:tcW w:type="dxa" w:w="3744"/>
          </w:tcPr>
          <w:p>
            <w:pPr>
              <w:spacing w:after="20" w:line="240" w:lineRule="auto"/>
            </w:pPr>
            <w:r/>
            <w:r>
              <w:rPr>
                <w:b w:val="0"/>
                <w:sz w:val="17"/>
              </w:rPr>
              <w:t>Affected products by catalog number</w:t>
            </w:r>
          </w:p>
        </w:tc>
        <w:tc>
          <w:tcPr>
            <w:tcW w:type="dxa" w:w="4464"/>
          </w:tcPr>
          <w:p>
            <w:pPr>
              <w:spacing w:after="20" w:line="240" w:lineRule="auto"/>
            </w:pPr>
            <w:r/>
            <w:r>
              <w:rPr>
                <w:b w:val="0"/>
                <w:sz w:val="17"/>
              </w:rPr>
              <w:t>The risk in plain words, and the symptoms that call for action</w:t>
            </w:r>
          </w:p>
        </w:tc>
      </w:tr>
      <w:tr>
        <w:trPr>
          <w:cantSplit w:val="true"/>
        </w:trPr>
        <w:tc>
          <w:tcPr>
            <w:tcW w:type="dxa" w:w="1152"/>
            <w:shd w:val="clear" w:color="auto" w:fill="DCE6F1"/>
          </w:tcPr>
          <w:p>
            <w:pPr>
              <w:spacing w:after="20" w:line="240" w:lineRule="auto"/>
            </w:pPr>
            <w:r>
              <w:rPr>
                <w:b/>
              </w:rPr>
            </w:r>
            <w:r>
              <w:rPr>
                <w:b/>
                <w:sz w:val="17"/>
              </w:rPr>
              <w:t>6</w:t>
            </w:r>
          </w:p>
        </w:tc>
        <w:tc>
          <w:tcPr>
            <w:tcW w:type="dxa" w:w="3744"/>
          </w:tcPr>
          <w:p>
            <w:pPr>
              <w:spacing w:after="20" w:line="240" w:lineRule="auto"/>
            </w:pPr>
            <w:r/>
            <w:r>
              <w:rPr>
                <w:b w:val="0"/>
                <w:sz w:val="17"/>
              </w:rPr>
              <w:t>Risk to patients, after a reassuring sentence</w:t>
            </w:r>
          </w:p>
        </w:tc>
        <w:tc>
          <w:tcPr>
            <w:tcW w:type="dxa" w:w="4464"/>
          </w:tcPr>
          <w:p>
            <w:pPr>
              <w:spacing w:after="20" w:line="240" w:lineRule="auto"/>
            </w:pPr>
            <w:r/>
            <w:r>
              <w:rPr>
                <w:b w:val="0"/>
                <w:sz w:val="17"/>
              </w:rPr>
              <w:t>What went wrong, in two sentences</w:t>
            </w:r>
          </w:p>
        </w:tc>
      </w:tr>
      <w:tr>
        <w:trPr>
          <w:cantSplit w:val="true"/>
        </w:trPr>
        <w:tc>
          <w:tcPr>
            <w:tcW w:type="dxa" w:w="1152"/>
            <w:shd w:val="clear" w:color="auto" w:fill="DCE6F1"/>
          </w:tcPr>
          <w:p>
            <w:pPr>
              <w:spacing w:after="20" w:line="240" w:lineRule="auto"/>
            </w:pPr>
            <w:r>
              <w:rPr>
                <w:b/>
              </w:rPr>
            </w:r>
            <w:r>
              <w:rPr>
                <w:b/>
                <w:sz w:val="17"/>
              </w:rPr>
              <w:t>7</w:t>
            </w:r>
          </w:p>
        </w:tc>
        <w:tc>
          <w:tcPr>
            <w:tcW w:type="dxa" w:w="3744"/>
          </w:tcPr>
          <w:p>
            <w:pPr>
              <w:spacing w:after="20" w:line="240" w:lineRule="auto"/>
            </w:pPr>
            <w:r/>
            <w:r>
              <w:rPr>
                <w:b w:val="0"/>
                <w:sz w:val="17"/>
              </w:rPr>
              <w:t>Actions to be taken</w:t>
            </w:r>
          </w:p>
        </w:tc>
        <w:tc>
          <w:tcPr>
            <w:tcW w:type="dxa" w:w="4464"/>
          </w:tcPr>
          <w:p>
            <w:pPr>
              <w:spacing w:after="20" w:line="240" w:lineRule="auto"/>
            </w:pPr>
            <w:r/>
            <w:r>
              <w:rPr>
                <w:b w:val="0"/>
                <w:sz w:val="17"/>
              </w:rPr>
              <w:t>Response form and instructions to pass the notice on</w:t>
            </w:r>
          </w:p>
        </w:tc>
      </w:tr>
      <w:tr>
        <w:trPr>
          <w:cantSplit w:val="true"/>
        </w:trPr>
        <w:tc>
          <w:tcPr>
            <w:tcW w:type="dxa" w:w="1152"/>
            <w:shd w:val="clear" w:color="auto" w:fill="DCE6F1"/>
          </w:tcPr>
          <w:p>
            <w:pPr>
              <w:spacing w:after="20" w:line="240" w:lineRule="auto"/>
            </w:pPr>
            <w:r>
              <w:rPr>
                <w:b/>
              </w:rPr>
            </w:r>
            <w:r>
              <w:rPr>
                <w:b/>
                <w:sz w:val="17"/>
              </w:rPr>
              <w:t>8</w:t>
            </w:r>
          </w:p>
        </w:tc>
        <w:tc>
          <w:tcPr>
            <w:tcW w:type="dxa" w:w="3744"/>
          </w:tcPr>
          <w:p>
            <w:pPr>
              <w:spacing w:after="20" w:line="240" w:lineRule="auto"/>
            </w:pPr>
            <w:r/>
            <w:r>
              <w:rPr>
                <w:b w:val="0"/>
                <w:sz w:val="17"/>
              </w:rPr>
              <w:t>Contact details</w:t>
            </w:r>
          </w:p>
        </w:tc>
        <w:tc>
          <w:tcPr>
            <w:tcW w:type="dxa" w:w="4464"/>
          </w:tcPr>
          <w:p>
            <w:pPr>
              <w:spacing w:after="20" w:line="240" w:lineRule="auto"/>
            </w:pPr>
            <w:r/>
            <w:r>
              <w:rPr>
                <w:b w:val="0"/>
                <w:sz w:val="17"/>
              </w:rPr>
              <w:t>Contacts, and a statement that the authorities have been informed</w:t>
            </w:r>
          </w:p>
        </w:tc>
      </w:tr>
    </w:tbl>
    <w:p>
      <w:pPr>
        <w:spacing w:after="160"/>
      </w:pPr>
      <w:r>
        <w:rPr>
          <w:i/>
          <w:color w:val="595959"/>
          <w:sz w:val="17"/>
        </w:rPr>
        <w:t>Table 21.2 — Glucalyn field safety notice: section order before and after revision. Interim instruction: after clearing any occlusion alarm, check the delivery history before giving another bolus.</w:t>
      </w:r>
    </w:p>
    <w:tbl>
      <w:tblPr>
        <w:tblW w:type="dxa" w:w="9359"/>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304"/>
        <w:gridCol w:w="3023"/>
        <w:gridCol w:w="2304"/>
        <w:gridCol w:w="1727"/>
      </w:tblGrid>
      <w:tr>
        <w:trPr>
          <w:tblHeader w:val="true"/>
          <w:cantSplit w:val="true"/>
        </w:trPr>
        <w:tc>
          <w:tcPr>
            <w:tcW w:type="dxa" w:w="2304"/>
            <w:shd w:val="clear" w:color="auto" w:fill="17375E"/>
            <w:vAlign w:val="center"/>
          </w:tcPr>
          <w:p>
            <w:pPr>
              <w:spacing w:after="20" w:line="240" w:lineRule="auto"/>
            </w:pPr>
            <w:r>
              <w:rPr>
                <w:b/>
              </w:rPr>
            </w:r>
            <w:r>
              <w:rPr>
                <w:b/>
                <w:color w:val="FFFFFF"/>
                <w:sz w:val="17"/>
              </w:rPr>
              <w:t>Audience</w:t>
            </w:r>
          </w:p>
        </w:tc>
        <w:tc>
          <w:tcPr>
            <w:tcW w:type="dxa" w:w="3024"/>
            <w:shd w:val="clear" w:color="auto" w:fill="17375E"/>
            <w:vAlign w:val="center"/>
          </w:tcPr>
          <w:p>
            <w:pPr>
              <w:spacing w:after="20" w:line="240" w:lineRule="auto"/>
            </w:pPr>
            <w:r>
              <w:rPr>
                <w:b/>
              </w:rPr>
            </w:r>
            <w:r>
              <w:rPr>
                <w:b/>
                <w:color w:val="FFFFFF"/>
                <w:sz w:val="17"/>
              </w:rPr>
              <w:t>What they need first</w:t>
            </w:r>
          </w:p>
        </w:tc>
        <w:tc>
          <w:tcPr>
            <w:tcW w:type="dxa" w:w="2304"/>
            <w:shd w:val="clear" w:color="auto" w:fill="17375E"/>
            <w:vAlign w:val="center"/>
          </w:tcPr>
          <w:p>
            <w:pPr>
              <w:spacing w:after="20" w:line="240" w:lineRule="auto"/>
            </w:pPr>
            <w:r>
              <w:rPr>
                <w:b/>
              </w:rPr>
            </w:r>
            <w:r>
              <w:rPr>
                <w:b/>
                <w:color w:val="FFFFFF"/>
                <w:sz w:val="17"/>
              </w:rPr>
              <w:t>Route</w:t>
            </w:r>
          </w:p>
        </w:tc>
        <w:tc>
          <w:tcPr>
            <w:tcW w:type="dxa" w:w="1728"/>
            <w:shd w:val="clear" w:color="auto" w:fill="17375E"/>
            <w:vAlign w:val="center"/>
          </w:tcPr>
          <w:p>
            <w:pPr>
              <w:spacing w:after="20" w:line="240" w:lineRule="auto"/>
            </w:pPr>
            <w:r>
              <w:rPr>
                <w:b/>
              </w:rPr>
            </w:r>
            <w:r>
              <w:rPr>
                <w:b/>
                <w:color w:val="FFFFFF"/>
                <w:sz w:val="17"/>
              </w:rPr>
              <w:t>Owner</w:t>
            </w:r>
          </w:p>
        </w:tc>
      </w:tr>
      <w:tr>
        <w:trPr>
          <w:cantSplit w:val="true"/>
        </w:trPr>
        <w:tc>
          <w:tcPr>
            <w:tcW w:type="dxa" w:w="2304"/>
            <w:shd w:val="clear" w:color="auto" w:fill="DCE6F1"/>
          </w:tcPr>
          <w:p>
            <w:pPr>
              <w:spacing w:after="20" w:line="240" w:lineRule="auto"/>
            </w:pPr>
            <w:r>
              <w:rPr>
                <w:b/>
              </w:rPr>
            </w:r>
            <w:r>
              <w:rPr>
                <w:b/>
                <w:sz w:val="17"/>
              </w:rPr>
              <w:t>EU competent authorities; notified body</w:t>
            </w:r>
          </w:p>
        </w:tc>
        <w:tc>
          <w:tcPr>
            <w:tcW w:type="dxa" w:w="3024"/>
          </w:tcPr>
          <w:p>
            <w:pPr>
              <w:spacing w:after="20" w:line="240" w:lineRule="auto"/>
            </w:pPr>
            <w:r/>
            <w:r>
              <w:rPr>
                <w:b w:val="0"/>
                <w:sz w:val="17"/>
              </w:rPr>
              <w:t>FSCA report and draft notice before the action starts</w:t>
            </w:r>
          </w:p>
        </w:tc>
        <w:tc>
          <w:tcPr>
            <w:tcW w:type="dxa" w:w="2304"/>
          </w:tcPr>
          <w:p>
            <w:pPr>
              <w:spacing w:after="20" w:line="240" w:lineRule="auto"/>
            </w:pPr>
            <w:r/>
            <w:r>
              <w:rPr>
                <w:b w:val="0"/>
                <w:sz w:val="17"/>
              </w:rPr>
              <w:t>Vigilance reporting route; notified body contact</w:t>
            </w:r>
          </w:p>
        </w:tc>
        <w:tc>
          <w:tcPr>
            <w:tcW w:type="dxa" w:w="1728"/>
          </w:tcPr>
          <w:p>
            <w:pPr>
              <w:spacing w:after="20" w:line="240" w:lineRule="auto"/>
            </w:pPr>
            <w:r/>
            <w:r>
              <w:rPr>
                <w:b w:val="0"/>
                <w:sz w:val="17"/>
              </w:rPr>
              <w:t>Regulatory affairs</w:t>
            </w:r>
          </w:p>
        </w:tc>
      </w:tr>
      <w:tr>
        <w:trPr>
          <w:cantSplit w:val="true"/>
        </w:trPr>
        <w:tc>
          <w:tcPr>
            <w:tcW w:type="dxa" w:w="2304"/>
            <w:shd w:val="clear" w:color="auto" w:fill="DCE6F1"/>
          </w:tcPr>
          <w:p>
            <w:pPr>
              <w:spacing w:after="20" w:line="240" w:lineRule="auto"/>
            </w:pPr>
            <w:r>
              <w:rPr>
                <w:b/>
              </w:rPr>
            </w:r>
            <w:r>
              <w:rPr>
                <w:b/>
                <w:sz w:val="17"/>
              </w:rPr>
              <w:t>MHRA (Great Britain)</w:t>
            </w:r>
          </w:p>
        </w:tc>
        <w:tc>
          <w:tcPr>
            <w:tcW w:type="dxa" w:w="3024"/>
          </w:tcPr>
          <w:p>
            <w:pPr>
              <w:spacing w:after="20" w:line="240" w:lineRule="auto"/>
            </w:pPr>
            <w:r/>
            <w:r>
              <w:rPr>
                <w:b w:val="0"/>
                <w:sz w:val="17"/>
              </w:rPr>
              <w:t>Proposed notice before customers receive it, with UDI where available</w:t>
            </w:r>
          </w:p>
        </w:tc>
        <w:tc>
          <w:tcPr>
            <w:tcW w:type="dxa" w:w="2304"/>
          </w:tcPr>
          <w:p>
            <w:pPr>
              <w:spacing w:after="20" w:line="240" w:lineRule="auto"/>
            </w:pPr>
            <w:r/>
            <w:r>
              <w:rPr>
                <w:b w:val="0"/>
                <w:sz w:val="17"/>
              </w:rPr>
              <w:t>MHRA reporting route</w:t>
            </w:r>
          </w:p>
        </w:tc>
        <w:tc>
          <w:tcPr>
            <w:tcW w:type="dxa" w:w="1728"/>
          </w:tcPr>
          <w:p>
            <w:pPr>
              <w:spacing w:after="20" w:line="240" w:lineRule="auto"/>
            </w:pPr>
            <w:r/>
            <w:r>
              <w:rPr>
                <w:b w:val="0"/>
                <w:sz w:val="17"/>
              </w:rPr>
              <w:t>Regulatory affairs</w:t>
            </w:r>
          </w:p>
        </w:tc>
      </w:tr>
      <w:tr>
        <w:trPr>
          <w:cantSplit w:val="true"/>
        </w:trPr>
        <w:tc>
          <w:tcPr>
            <w:tcW w:type="dxa" w:w="2304"/>
            <w:shd w:val="clear" w:color="auto" w:fill="DCE6F1"/>
          </w:tcPr>
          <w:p>
            <w:pPr>
              <w:spacing w:after="20" w:line="240" w:lineRule="auto"/>
            </w:pPr>
            <w:r>
              <w:rPr>
                <w:b/>
              </w:rPr>
            </w:r>
            <w:r>
              <w:rPr>
                <w:b/>
                <w:sz w:val="17"/>
              </w:rPr>
              <w:t>FDA (United States)</w:t>
            </w:r>
          </w:p>
        </w:tc>
        <w:tc>
          <w:tcPr>
            <w:tcW w:type="dxa" w:w="3024"/>
          </w:tcPr>
          <w:p>
            <w:pPr>
              <w:spacing w:after="20" w:line="240" w:lineRule="auto"/>
            </w:pPr>
            <w:r/>
            <w:r>
              <w:rPr>
                <w:b w:val="0"/>
                <w:sz w:val="17"/>
              </w:rPr>
              <w:t>Report of the correction within 10 working days of starting it</w:t>
            </w:r>
          </w:p>
        </w:tc>
        <w:tc>
          <w:tcPr>
            <w:tcW w:type="dxa" w:w="2304"/>
          </w:tcPr>
          <w:p>
            <w:pPr>
              <w:spacing w:after="20" w:line="240" w:lineRule="auto"/>
            </w:pPr>
            <w:r/>
            <w:r>
              <w:rPr>
                <w:b w:val="0"/>
                <w:sz w:val="17"/>
              </w:rPr>
              <w:t>21 CFR Part 806 report</w:t>
            </w:r>
          </w:p>
        </w:tc>
        <w:tc>
          <w:tcPr>
            <w:tcW w:type="dxa" w:w="1728"/>
          </w:tcPr>
          <w:p>
            <w:pPr>
              <w:spacing w:after="20" w:line="240" w:lineRule="auto"/>
            </w:pPr>
            <w:r/>
            <w:r>
              <w:rPr>
                <w:b w:val="0"/>
                <w:sz w:val="17"/>
              </w:rPr>
              <w:t>Regulatory affairs</w:t>
            </w:r>
          </w:p>
        </w:tc>
      </w:tr>
      <w:tr>
        <w:trPr>
          <w:cantSplit w:val="true"/>
        </w:trPr>
        <w:tc>
          <w:tcPr>
            <w:tcW w:type="dxa" w:w="2304"/>
            <w:shd w:val="clear" w:color="auto" w:fill="DCE6F1"/>
          </w:tcPr>
          <w:p>
            <w:pPr>
              <w:spacing w:after="20" w:line="240" w:lineRule="auto"/>
            </w:pPr>
            <w:r>
              <w:rPr>
                <w:b/>
              </w:rPr>
            </w:r>
            <w:r>
              <w:rPr>
                <w:b/>
                <w:sz w:val="17"/>
              </w:rPr>
              <w:t>Diabetes clinics and prescribers</w:t>
            </w:r>
          </w:p>
        </w:tc>
        <w:tc>
          <w:tcPr>
            <w:tcW w:type="dxa" w:w="3024"/>
          </w:tcPr>
          <w:p>
            <w:pPr>
              <w:spacing w:after="20" w:line="240" w:lineRule="auto"/>
            </w:pPr>
            <w:r/>
            <w:r>
              <w:rPr>
                <w:b w:val="0"/>
                <w:sz w:val="17"/>
              </w:rPr>
              <w:t>Affected versions, the interim instruction, the clinical risk in numbers</w:t>
            </w:r>
          </w:p>
        </w:tc>
        <w:tc>
          <w:tcPr>
            <w:tcW w:type="dxa" w:w="2304"/>
          </w:tcPr>
          <w:p>
            <w:pPr>
              <w:spacing w:after="20" w:line="240" w:lineRule="auto"/>
            </w:pPr>
            <w:r/>
            <w:r>
              <w:rPr>
                <w:b w:val="0"/>
                <w:sz w:val="17"/>
              </w:rPr>
              <w:t>Clinician letter with the notice</w:t>
            </w:r>
          </w:p>
        </w:tc>
        <w:tc>
          <w:tcPr>
            <w:tcW w:type="dxa" w:w="1728"/>
          </w:tcPr>
          <w:p>
            <w:pPr>
              <w:spacing w:after="20" w:line="240" w:lineRule="auto"/>
            </w:pPr>
            <w:r/>
            <w:r>
              <w:rPr>
                <w:b w:val="0"/>
                <w:sz w:val="17"/>
              </w:rPr>
              <w:t>Clinical lead</w:t>
            </w:r>
          </w:p>
        </w:tc>
      </w:tr>
      <w:tr>
        <w:trPr>
          <w:cantSplit w:val="true"/>
        </w:trPr>
        <w:tc>
          <w:tcPr>
            <w:tcW w:type="dxa" w:w="2304"/>
            <w:shd w:val="clear" w:color="auto" w:fill="DCE6F1"/>
          </w:tcPr>
          <w:p>
            <w:pPr>
              <w:spacing w:after="20" w:line="240" w:lineRule="auto"/>
            </w:pPr>
            <w:r>
              <w:rPr>
                <w:b/>
              </w:rPr>
            </w:r>
            <w:r>
              <w:rPr>
                <w:b/>
                <w:sz w:val="17"/>
              </w:rPr>
              <w:t>Pump users and caregivers</w:t>
            </w:r>
          </w:p>
        </w:tc>
        <w:tc>
          <w:tcPr>
            <w:tcW w:type="dxa" w:w="3024"/>
          </w:tcPr>
          <w:p>
            <w:pPr>
              <w:spacing w:after="20" w:line="240" w:lineRule="auto"/>
            </w:pPr>
            <w:r/>
            <w:r>
              <w:rPr>
                <w:b w:val="0"/>
                <w:sz w:val="17"/>
              </w:rPr>
              <w:t>Is my pump affected; what do I do now</w:t>
            </w:r>
          </w:p>
        </w:tc>
        <w:tc>
          <w:tcPr>
            <w:tcW w:type="dxa" w:w="2304"/>
          </w:tcPr>
          <w:p>
            <w:pPr>
              <w:spacing w:after="20" w:line="240" w:lineRule="auto"/>
            </w:pPr>
            <w:r/>
            <w:r>
              <w:rPr>
                <w:b w:val="0"/>
                <w:sz w:val="17"/>
              </w:rPr>
              <w:t>Notice in plain language</w:t>
            </w:r>
          </w:p>
        </w:tc>
        <w:tc>
          <w:tcPr>
            <w:tcW w:type="dxa" w:w="1728"/>
          </w:tcPr>
          <w:p>
            <w:pPr>
              <w:spacing w:after="20" w:line="240" w:lineRule="auto"/>
            </w:pPr>
            <w:r/>
            <w:r>
              <w:rPr>
                <w:b w:val="0"/>
                <w:sz w:val="17"/>
              </w:rPr>
              <w:t>Vigilance lead</w:t>
            </w:r>
          </w:p>
        </w:tc>
      </w:tr>
      <w:tr>
        <w:trPr>
          <w:cantSplit w:val="true"/>
        </w:trPr>
        <w:tc>
          <w:tcPr>
            <w:tcW w:type="dxa" w:w="2304"/>
            <w:shd w:val="clear" w:color="auto" w:fill="DCE6F1"/>
          </w:tcPr>
          <w:p>
            <w:pPr>
              <w:spacing w:after="20" w:line="240" w:lineRule="auto"/>
            </w:pPr>
            <w:r>
              <w:rPr>
                <w:b/>
              </w:rPr>
            </w:r>
            <w:r>
              <w:rPr>
                <w:b/>
                <w:sz w:val="17"/>
              </w:rPr>
              <w:t>Distributors and home-supply providers</w:t>
            </w:r>
          </w:p>
        </w:tc>
        <w:tc>
          <w:tcPr>
            <w:tcW w:type="dxa" w:w="3024"/>
          </w:tcPr>
          <w:p>
            <w:pPr>
              <w:spacing w:after="20" w:line="240" w:lineRule="auto"/>
            </w:pPr>
            <w:r/>
            <w:r>
              <w:rPr>
                <w:b w:val="0"/>
                <w:sz w:val="17"/>
              </w:rPr>
              <w:t>Which customers to reach; how to confirm onward delivery</w:t>
            </w:r>
          </w:p>
        </w:tc>
        <w:tc>
          <w:tcPr>
            <w:tcW w:type="dxa" w:w="2304"/>
          </w:tcPr>
          <w:p>
            <w:pPr>
              <w:spacing w:after="20" w:line="240" w:lineRule="auto"/>
            </w:pPr>
            <w:r/>
            <w:r>
              <w:rPr>
                <w:b w:val="0"/>
                <w:sz w:val="17"/>
              </w:rPr>
              <w:t>Notice plus distributor instructions</w:t>
            </w:r>
          </w:p>
        </w:tc>
        <w:tc>
          <w:tcPr>
            <w:tcW w:type="dxa" w:w="1728"/>
          </w:tcPr>
          <w:p>
            <w:pPr>
              <w:spacing w:after="20" w:line="240" w:lineRule="auto"/>
            </w:pPr>
            <w:r/>
            <w:r>
              <w:rPr>
                <w:b w:val="0"/>
                <w:sz w:val="17"/>
              </w:rPr>
              <w:t>Quality and supply chain</w:t>
            </w:r>
          </w:p>
        </w:tc>
      </w:tr>
    </w:tbl>
    <w:p>
      <w:pPr>
        <w:spacing w:after="160"/>
      </w:pPr>
      <w:r>
        <w:rPr>
          <w:i/>
          <w:color w:val="595959"/>
          <w:sz w:val="17"/>
        </w:rPr>
        <w:t>Table 21.1 — Audiences for the Glucalyn field safety notice.</w:t>
      </w:r>
    </w:p>
    <w:sectPr w:rsidR="00FC693F" w:rsidRPr="0006063C" w:rsidSect="00034616">
      <w:headerReference w:type="default" r:id="rId9"/>
      <w:footerReference w:type="default" r:id="rId10"/>
      <w:pgSz w:w="12240" w:h="15840"/>
      <w:pgMar w:top="1440" w:right="1440" w:bottom="1440" w:left="1440"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A6A6A6"/>
      </w:pBdr>
    </w:pPr>
    <w:r/>
    <w:r>
      <w:rPr>
        <w:i/>
        <w:color w:val="595959"/>
        <w:sz w:val="16"/>
      </w:rPr>
      <w:t>Educational template — adapt to your quality system. Not a regulatory requirement.</w:t>
    </w:r>
  </w:p>
  <w:p>
    <w:r>
      <w:rPr>
        <w:color w:val="595959"/>
        <w:sz w:val="16"/>
      </w:rPr>
      <w:t xml:space="preserve">© 2026 Selim Medical Press · Tool T-19 · Page </w:t>
    </w:r>
    <w:r>
      <w:rPr>
        <w:color w:val="595959"/>
        <w:sz w:val="16"/>
      </w:rPr>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6A6A6"/>
      </w:pBdr>
    </w:pPr>
    <w:r/>
    <w:r>
      <w:rPr>
        <w:rFonts w:ascii="Calibri" w:hAnsi="Calibri"/>
        <w:color w:val="595959"/>
        <w:sz w:val="17"/>
      </w:rPr>
      <w:t>Selim Medical Press · Signal Management in Medical Device Vigilance · Tool T-19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cs="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mbria" w:hAnsi="Cambria" w:cs="Cambria" w:eastAsia="Cambria"/>
      <w:b/>
      <w:bCs/>
      <w:color w:val="17375E"/>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mbria" w:hAnsi="Cambria" w:cs="Cambria" w:eastAsia="Cambria"/>
      <w:b/>
      <w:bCs/>
      <w:color w:val="17375E"/>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Cambria" w:hAnsi="Cambria" w:cs="Cambria" w:eastAsia="Cambria"/>
      <w:b/>
      <w:bCs/>
      <w:color w:val="1737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Cambria" w:hAnsi="Cambria" w:cs="Cambria" w:eastAsia="Cambria"/>
      <w:b/>
      <w:color w:val="1737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s="Calibri" w:eastAsia="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T-19 — Field Safety Notice Checklist</dc:title>
  <dc:subject>Signal Management in Medical Device Vigilance — companion toolkit</dc:subject>
  <dc:creator>Dr. Hafez Selim, MD, PhD</dc:creator>
  <cp:keywords>device vigilance; signal management; toolkit</cp:keywords>
  <dc:description>Selim Medical Press © 2026. Educational template.</dc:description>
  <cp:lastModifiedBy/>
  <cp:revision>1</cp:revision>
  <dcterms:created xsi:type="dcterms:W3CDTF">2013-12-23T23:15:00Z</dcterms:created>
  <dcterms:modified xsi:type="dcterms:W3CDTF">2013-12-23T23:15:00Z</dcterms:modified>
  <cp:category/>
</cp:coreProperties>
</file>