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17375E"/>
          <w:sz w:val="18"/>
        </w:rPr>
        <w:t>COMPANION TOOLKIT · TOOL T-21</w:t>
      </w:r>
    </w:p>
    <w:p>
      <w:pPr>
        <w:pStyle w:val="Title"/>
      </w:pPr>
      <w:r>
        <w:t>Signal Record, Closure Memo and Reopening Review Templates</w:t>
      </w:r>
    </w:p>
    <w:p>
      <w:r>
        <w:rPr>
          <w:i/>
          <w:color w:val="595959"/>
          <w:sz w:val="21"/>
        </w:rPr>
        <w:t>Structured fields wherever a reader will need to check something later</w:t>
      </w:r>
    </w:p>
    <w:p>
      <w:pPr>
        <w:pBdr>
          <w:bottom w:val="single" w:sz="6" w:space="1" w:color="17375E"/>
        </w:pBdr>
        <w:spacing w:after="160"/>
      </w:pPr>
      <w:r>
        <w:rPr>
          <w:color w:val="595959"/>
          <w:sz w:val="17"/>
        </w:rPr>
        <w:t>Signal Management in Medical Device Vigilance · Dr. Hafez Selim, MD, PhD · Selim Medical Press · © 2026</w:t>
      </w:r>
    </w:p>
    <w:tbl>
      <w:tblPr>
        <w:tblW w:type="dxa" w:w="936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ayout w:type="fixed"/>
      </w:tblPr>
      <w:tblGrid>
        <w:gridCol w:w="2160"/>
        <w:gridCol w:w="7200"/>
      </w:tblGrid>
      <w:tr>
        <w:tc>
          <w:tcPr>
            <w:tcW w:type="dxa" w:w="2160"/>
            <w:shd w:val="clear" w:color="auto" w:fill="DCE6F1"/>
          </w:tcPr>
          <w:p>
            <w:r/>
            <w:r>
              <w:rPr>
                <w:b/>
                <w:color w:val="17375E"/>
              </w:rPr>
              <w:t>Purpose</w:t>
            </w:r>
          </w:p>
        </w:tc>
        <w:tc>
          <w:tcPr>
            <w:tcW w:type="dxa" w:w="7200"/>
          </w:tcPr>
          <w:p>
            <w:pPr>
              <w:spacing w:after="20" w:line="240" w:lineRule="auto"/>
            </w:pPr>
            <w:r/>
            <w:r>
              <w:rPr>
                <w:b w:val="0"/>
              </w:rPr>
              <w:t>Three linked templates: the signal record (detection, validation, assessment, decision), the closure memo, and the reopening review. Structured fields replace free text wherever an auditor will later need to check limits, denominators, decisions and decision-makers.</w:t>
            </w:r>
          </w:p>
        </w:tc>
      </w:tr>
      <w:tr>
        <w:tc>
          <w:tcPr>
            <w:tcW w:type="dxa" w:w="2160"/>
            <w:shd w:val="clear" w:color="auto" w:fill="DCE6F1"/>
          </w:tcPr>
          <w:p>
            <w:r/>
            <w:r>
              <w:rPr>
                <w:b/>
                <w:color w:val="17375E"/>
              </w:rPr>
              <w:t>When to use</w:t>
            </w:r>
          </w:p>
        </w:tc>
        <w:tc>
          <w:tcPr>
            <w:tcW w:type="dxa" w:w="7200"/>
          </w:tcPr>
          <w:p>
            <w:pPr>
              <w:spacing w:after="20" w:line="240" w:lineRule="auto"/>
            </w:pPr>
            <w:r/>
            <w:r>
              <w:rPr>
                <w:b w:val="0"/>
              </w:rPr>
              <w:t>Open a signal record when the SOP criteria are met; write a closure memo whenever a record or alert is closed, whatever the outcome; complete a reopening review whenever a reopening trigger fires.</w:t>
            </w:r>
          </w:p>
        </w:tc>
      </w:tr>
      <w:tr>
        <w:tc>
          <w:tcPr>
            <w:tcW w:type="dxa" w:w="2160"/>
            <w:shd w:val="clear" w:color="auto" w:fill="DCE6F1"/>
          </w:tcPr>
          <w:p>
            <w:r/>
            <w:r>
              <w:rPr>
                <w:b/>
                <w:color w:val="17375E"/>
              </w:rPr>
              <w:t>Chapter reference</w:t>
            </w:r>
          </w:p>
        </w:tc>
        <w:tc>
          <w:tcPr>
            <w:tcW w:type="dxa" w:w="7200"/>
          </w:tcPr>
          <w:p>
            <w:pPr>
              <w:spacing w:after="20" w:line="240" w:lineRule="auto"/>
            </w:pPr>
            <w:r/>
            <w:r>
              <w:rPr>
                <w:b w:val="0"/>
              </w:rPr>
              <w:t>Chapter 23, Signal Documentation — section 23.5 (Tables 23.2 and 23.3).</w:t>
            </w:r>
          </w:p>
        </w:tc>
      </w:tr>
    </w:tbl>
    <w:p>
      <w:pPr>
        <w:spacing w:after="0" w:before="0" w:line="80" w:lineRule="exact"/>
      </w:pPr>
      <w:r>
        <w:rPr>
          <w:sz w:val="8"/>
        </w:rPr>
      </w:r>
    </w:p>
    <w:p>
      <w:pPr>
        <w:pStyle w:val="Heading1"/>
      </w:pPr>
      <w:r>
        <w:t>Template 1 — Signal record</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2304"/>
        <w:gridCol w:w="2376"/>
        <w:gridCol w:w="2304"/>
        <w:gridCol w:w="2376"/>
      </w:tblGrid>
      <w:tr>
        <w:trPr>
          <w:trHeight w:val="432" w:hRule="atLeast"/>
        </w:trPr>
        <w:tc>
          <w:tcPr>
            <w:tcW w:type="dxa" w:w="2304"/>
            <w:shd w:val="clear" w:color="auto" w:fill="DCE6F1"/>
          </w:tcPr>
          <w:p>
            <w:pPr>
              <w:spacing w:after="20" w:line="240" w:lineRule="auto"/>
            </w:pPr>
            <w:r>
              <w:rPr>
                <w:b/>
              </w:rPr>
            </w:r>
            <w:r>
              <w:rPr>
                <w:b/>
                <w:sz w:val="18"/>
              </w:rPr>
              <w:t>Record ID</w:t>
            </w:r>
          </w:p>
        </w:tc>
        <w:tc>
          <w:tcPr>
            <w:tcW w:type="dxa" w:w="2376"/>
          </w:tcPr>
          <w:p>
            <w:pPr>
              <w:spacing w:after="20" w:line="240" w:lineRule="auto"/>
            </w:pPr>
            <w:r/>
          </w:p>
        </w:tc>
        <w:tc>
          <w:tcPr>
            <w:tcW w:type="dxa" w:w="2304"/>
            <w:shd w:val="clear" w:color="auto" w:fill="DCE6F1"/>
          </w:tcPr>
          <w:p>
            <w:pPr>
              <w:spacing w:after="20" w:line="240" w:lineRule="auto"/>
            </w:pPr>
            <w:r>
              <w:rPr>
                <w:b/>
              </w:rPr>
            </w:r>
            <w:r>
              <w:rPr>
                <w:b/>
                <w:sz w:val="18"/>
              </w:rPr>
              <w:t>Product / scope</w:t>
            </w:r>
          </w:p>
        </w:tc>
        <w:tc>
          <w:tcPr>
            <w:tcW w:type="dxa" w:w="2376"/>
          </w:tcPr>
          <w:p>
            <w:pPr>
              <w:spacing w:after="20" w:line="240" w:lineRule="auto"/>
            </w:pPr>
            <w:r/>
          </w:p>
        </w:tc>
      </w:tr>
      <w:tr>
        <w:trPr>
          <w:trHeight w:val="432" w:hRule="atLeast"/>
        </w:trPr>
        <w:tc>
          <w:tcPr>
            <w:tcW w:type="dxa" w:w="2304"/>
            <w:shd w:val="clear" w:color="auto" w:fill="DCE6F1"/>
          </w:tcPr>
          <w:p>
            <w:pPr>
              <w:spacing w:after="20" w:line="240" w:lineRule="auto"/>
            </w:pPr>
            <w:r>
              <w:rPr>
                <w:b/>
              </w:rPr>
            </w:r>
            <w:r>
              <w:rPr>
                <w:b/>
                <w:sz w:val="18"/>
              </w:rPr>
              <w:t>Owner</w:t>
            </w:r>
          </w:p>
        </w:tc>
        <w:tc>
          <w:tcPr>
            <w:tcW w:type="dxa" w:w="2376"/>
          </w:tcPr>
          <w:p>
            <w:pPr>
              <w:spacing w:after="20" w:line="240" w:lineRule="auto"/>
            </w:pPr>
            <w:r/>
          </w:p>
        </w:tc>
        <w:tc>
          <w:tcPr>
            <w:tcW w:type="dxa" w:w="2304"/>
            <w:shd w:val="clear" w:color="auto" w:fill="DCE6F1"/>
          </w:tcPr>
          <w:p>
            <w:pPr>
              <w:spacing w:after="20" w:line="240" w:lineRule="auto"/>
            </w:pPr>
            <w:r>
              <w:rPr>
                <w:b/>
              </w:rPr>
            </w:r>
            <w:r>
              <w:rPr>
                <w:b/>
                <w:sz w:val="18"/>
              </w:rPr>
              <w:t>Date opened</w:t>
            </w:r>
          </w:p>
        </w:tc>
        <w:tc>
          <w:tcPr>
            <w:tcW w:type="dxa" w:w="2376"/>
          </w:tcPr>
          <w:p>
            <w:pPr>
              <w:spacing w:after="20" w:line="240" w:lineRule="auto"/>
            </w:pPr>
            <w:r/>
          </w:p>
        </w:tc>
      </w:tr>
      <w:tr>
        <w:trPr>
          <w:trHeight w:val="432" w:hRule="atLeast"/>
        </w:trPr>
        <w:tc>
          <w:tcPr>
            <w:tcW w:type="dxa" w:w="2304"/>
            <w:shd w:val="clear" w:color="auto" w:fill="DCE6F1"/>
          </w:tcPr>
          <w:p>
            <w:pPr>
              <w:spacing w:after="20" w:line="240" w:lineRule="auto"/>
            </w:pPr>
            <w:r>
              <w:rPr>
                <w:b/>
              </w:rPr>
            </w:r>
            <w:r>
              <w:rPr>
                <w:b/>
                <w:sz w:val="18"/>
              </w:rPr>
              <w:t>Previous related record(s)</w:t>
            </w:r>
          </w:p>
        </w:tc>
        <w:tc>
          <w:tcPr>
            <w:tcW w:type="dxa" w:w="2376"/>
          </w:tcPr>
          <w:p>
            <w:pPr>
              <w:spacing w:after="20" w:line="240" w:lineRule="auto"/>
            </w:pPr>
            <w:r/>
          </w:p>
        </w:tc>
        <w:tc>
          <w:tcPr>
            <w:tcW w:type="dxa" w:w="2304"/>
            <w:shd w:val="clear" w:color="auto" w:fill="DCE6F1"/>
          </w:tcPr>
          <w:p>
            <w:pPr>
              <w:spacing w:after="20" w:line="240" w:lineRule="auto"/>
            </w:pPr>
            <w:r>
              <w:rPr>
                <w:b/>
              </w:rPr>
            </w:r>
            <w:r>
              <w:rPr>
                <w:b/>
                <w:sz w:val="18"/>
              </w:rPr>
              <w:t>Status (open / closed — administrative)</w:t>
            </w:r>
          </w:p>
        </w:tc>
        <w:tc>
          <w:tcPr>
            <w:tcW w:type="dxa" w:w="2376"/>
          </w:tcPr>
          <w:p>
            <w:pPr>
              <w:spacing w:after="20" w:line="240" w:lineRule="auto"/>
            </w:pPr>
            <w:r/>
          </w:p>
        </w:tc>
      </w:tr>
    </w:tbl>
    <w:p>
      <w:pPr>
        <w:spacing w:after="0" w:before="0" w:line="80" w:lineRule="exact"/>
      </w:pPr>
      <w:r>
        <w:rPr>
          <w:sz w:val="8"/>
        </w:rPr>
      </w:r>
    </w:p>
    <w:p>
      <w:pPr>
        <w:pStyle w:val="Heading2"/>
      </w:pPr>
      <w:r>
        <w:t>A. Detection</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3168"/>
        <w:gridCol w:w="6192"/>
      </w:tblGrid>
      <w:tr>
        <w:trPr>
          <w:cantSplit w:val="true"/>
          <w:trHeight w:val="547" w:hRule="atLeast"/>
        </w:trPr>
        <w:tc>
          <w:tcPr>
            <w:tcW w:type="dxa" w:w="3168"/>
            <w:shd w:val="clear" w:color="auto" w:fill="DCE6F1"/>
          </w:tcPr>
          <w:p>
            <w:pPr>
              <w:spacing w:after="20" w:line="240" w:lineRule="auto"/>
            </w:pPr>
            <w:r>
              <w:rPr>
                <w:b/>
              </w:rPr>
            </w:r>
            <w:r>
              <w:rPr>
                <w:b/>
                <w:sz w:val="18"/>
              </w:rPr>
              <w:t>Source and detection route</w:t>
            </w:r>
          </w:p>
        </w:tc>
        <w:tc>
          <w:tcPr>
            <w:tcW w:type="dxa" w:w="6192"/>
          </w:tcPr>
          <w:p>
            <w:pPr>
              <w:spacing w:after="20" w:line="240" w:lineRule="auto"/>
            </w:pPr>
            <w:r/>
          </w:p>
        </w:tc>
      </w:tr>
      <w:tr>
        <w:trPr>
          <w:cantSplit w:val="true"/>
          <w:trHeight w:val="547" w:hRule="atLeast"/>
        </w:trPr>
        <w:tc>
          <w:tcPr>
            <w:tcW w:type="dxa" w:w="3168"/>
            <w:shd w:val="clear" w:color="auto" w:fill="DCE6F1"/>
          </w:tcPr>
          <w:p>
            <w:pPr>
              <w:spacing w:after="20" w:line="240" w:lineRule="auto"/>
            </w:pPr>
            <w:r>
              <w:rPr>
                <w:b/>
              </w:rPr>
            </w:r>
            <w:r>
              <w:rPr>
                <w:b/>
                <w:sz w:val="18"/>
              </w:rPr>
              <w:t>Data cut and source (database, code, extraction date)</w:t>
            </w:r>
          </w:p>
        </w:tc>
        <w:tc>
          <w:tcPr>
            <w:tcW w:type="dxa" w:w="6192"/>
          </w:tcPr>
          <w:p>
            <w:pPr>
              <w:spacing w:after="20" w:line="240" w:lineRule="auto"/>
            </w:pPr>
            <w:r/>
          </w:p>
        </w:tc>
      </w:tr>
      <w:tr>
        <w:trPr>
          <w:cantSplit w:val="true"/>
          <w:trHeight w:val="547" w:hRule="atLeast"/>
        </w:trPr>
        <w:tc>
          <w:tcPr>
            <w:tcW w:type="dxa" w:w="3168"/>
            <w:shd w:val="clear" w:color="auto" w:fill="DCE6F1"/>
          </w:tcPr>
          <w:p>
            <w:pPr>
              <w:spacing w:after="20" w:line="240" w:lineRule="auto"/>
            </w:pPr>
            <w:r>
              <w:rPr>
                <w:b/>
              </w:rPr>
            </w:r>
            <w:r>
              <w:rPr>
                <w:b/>
                <w:sz w:val="18"/>
              </w:rPr>
              <w:t>Denominator and expected count</w:t>
            </w:r>
          </w:p>
        </w:tc>
        <w:tc>
          <w:tcPr>
            <w:tcW w:type="dxa" w:w="6192"/>
          </w:tcPr>
          <w:p>
            <w:pPr>
              <w:spacing w:after="20" w:line="240" w:lineRule="auto"/>
            </w:pPr>
            <w:r/>
          </w:p>
        </w:tc>
      </w:tr>
      <w:tr>
        <w:trPr>
          <w:cantSplit w:val="true"/>
          <w:trHeight w:val="547" w:hRule="atLeast"/>
        </w:trPr>
        <w:tc>
          <w:tcPr>
            <w:tcW w:type="dxa" w:w="3168"/>
            <w:shd w:val="clear" w:color="auto" w:fill="DCE6F1"/>
          </w:tcPr>
          <w:p>
            <w:pPr>
              <w:spacing w:after="20" w:line="240" w:lineRule="auto"/>
            </w:pPr>
            <w:r>
              <w:rPr>
                <w:b/>
              </w:rPr>
            </w:r>
            <w:r>
              <w:rPr>
                <w:b/>
                <w:sz w:val="18"/>
              </w:rPr>
              <w:t>Method and threshold (PMS plan version in force)</w:t>
            </w:r>
          </w:p>
        </w:tc>
        <w:tc>
          <w:tcPr>
            <w:tcW w:type="dxa" w:w="6192"/>
          </w:tcPr>
          <w:p>
            <w:pPr>
              <w:spacing w:after="20" w:line="240" w:lineRule="auto"/>
            </w:pPr>
            <w:r/>
          </w:p>
        </w:tc>
      </w:tr>
      <w:tr>
        <w:trPr>
          <w:cantSplit w:val="true"/>
          <w:trHeight w:val="547" w:hRule="atLeast"/>
        </w:trPr>
        <w:tc>
          <w:tcPr>
            <w:tcW w:type="dxa" w:w="3168"/>
            <w:shd w:val="clear" w:color="auto" w:fill="DCE6F1"/>
          </w:tcPr>
          <w:p>
            <w:pPr>
              <w:spacing w:after="20" w:line="240" w:lineRule="auto"/>
            </w:pPr>
            <w:r>
              <w:rPr>
                <w:b/>
              </w:rPr>
            </w:r>
            <w:r>
              <w:rPr>
                <w:b/>
                <w:sz w:val="18"/>
              </w:rPr>
              <w:t>Result</w:t>
            </w:r>
          </w:p>
        </w:tc>
        <w:tc>
          <w:tcPr>
            <w:tcW w:type="dxa" w:w="6192"/>
          </w:tcPr>
          <w:p>
            <w:pPr>
              <w:spacing w:after="20" w:line="240" w:lineRule="auto"/>
            </w:pPr>
            <w:r/>
          </w:p>
        </w:tc>
      </w:tr>
      <w:tr>
        <w:trPr>
          <w:cantSplit w:val="true"/>
          <w:trHeight w:val="547" w:hRule="atLeast"/>
        </w:trPr>
        <w:tc>
          <w:tcPr>
            <w:tcW w:type="dxa" w:w="3168"/>
            <w:shd w:val="clear" w:color="auto" w:fill="DCE6F1"/>
          </w:tcPr>
          <w:p>
            <w:pPr>
              <w:spacing w:after="20" w:line="240" w:lineRule="auto"/>
            </w:pPr>
            <w:r>
              <w:rPr>
                <w:b/>
              </w:rPr>
            </w:r>
            <w:r>
              <w:rPr>
                <w:b/>
                <w:sz w:val="18"/>
              </w:rPr>
              <w:t>Severity review</w:t>
            </w:r>
          </w:p>
        </w:tc>
        <w:tc>
          <w:tcPr>
            <w:tcW w:type="dxa" w:w="6192"/>
          </w:tcPr>
          <w:p>
            <w:pPr>
              <w:spacing w:after="20" w:line="240" w:lineRule="auto"/>
            </w:pPr>
            <w:r/>
          </w:p>
        </w:tc>
      </w:tr>
    </w:tbl>
    <w:p>
      <w:pPr>
        <w:spacing w:after="0" w:before="0" w:line="80" w:lineRule="exact"/>
      </w:pPr>
      <w:r>
        <w:rPr>
          <w:sz w:val="8"/>
        </w:rPr>
      </w:r>
    </w:p>
    <w:p>
      <w:pPr>
        <w:pStyle w:val="Heading2"/>
      </w:pPr>
      <w:r>
        <w:t>B. Validation</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3168"/>
        <w:gridCol w:w="6192"/>
      </w:tblGrid>
      <w:tr>
        <w:trPr>
          <w:cantSplit w:val="true"/>
          <w:trHeight w:val="547" w:hRule="atLeast"/>
        </w:trPr>
        <w:tc>
          <w:tcPr>
            <w:tcW w:type="dxa" w:w="3168"/>
            <w:shd w:val="clear" w:color="auto" w:fill="DCE6F1"/>
          </w:tcPr>
          <w:p>
            <w:pPr>
              <w:spacing w:after="20" w:line="240" w:lineRule="auto"/>
            </w:pPr>
            <w:r>
              <w:rPr>
                <w:b/>
              </w:rPr>
            </w:r>
            <w:r>
              <w:rPr>
                <w:b/>
                <w:sz w:val="18"/>
              </w:rPr>
              <w:t>Validation memo reference (Tool T-10)</w:t>
            </w:r>
          </w:p>
        </w:tc>
        <w:tc>
          <w:tcPr>
            <w:tcW w:type="dxa" w:w="6192"/>
          </w:tcPr>
          <w:p>
            <w:pPr>
              <w:spacing w:after="20" w:line="240" w:lineRule="auto"/>
            </w:pPr>
            <w:r/>
          </w:p>
        </w:tc>
      </w:tr>
      <w:tr>
        <w:trPr>
          <w:cantSplit w:val="true"/>
          <w:trHeight w:val="547" w:hRule="atLeast"/>
        </w:trPr>
        <w:tc>
          <w:tcPr>
            <w:tcW w:type="dxa" w:w="3168"/>
            <w:shd w:val="clear" w:color="auto" w:fill="DCE6F1"/>
          </w:tcPr>
          <w:p>
            <w:pPr>
              <w:spacing w:after="20" w:line="240" w:lineRule="auto"/>
            </w:pPr>
            <w:r>
              <w:rPr>
                <w:b/>
              </w:rPr>
            </w:r>
            <w:r>
              <w:rPr>
                <w:b/>
                <w:sz w:val="18"/>
              </w:rPr>
              <w:t>Decision and scope</w:t>
            </w:r>
          </w:p>
        </w:tc>
        <w:tc>
          <w:tcPr>
            <w:tcW w:type="dxa" w:w="6192"/>
          </w:tcPr>
          <w:p>
            <w:pPr>
              <w:spacing w:after="20" w:line="240" w:lineRule="auto"/>
            </w:pPr>
            <w:r/>
          </w:p>
        </w:tc>
      </w:tr>
      <w:tr>
        <w:trPr>
          <w:cantSplit w:val="true"/>
          <w:trHeight w:val="547" w:hRule="atLeast"/>
        </w:trPr>
        <w:tc>
          <w:tcPr>
            <w:tcW w:type="dxa" w:w="3168"/>
            <w:shd w:val="clear" w:color="auto" w:fill="DCE6F1"/>
          </w:tcPr>
          <w:p>
            <w:pPr>
              <w:spacing w:after="20" w:line="240" w:lineRule="auto"/>
            </w:pPr>
            <w:r>
              <w:rPr>
                <w:b/>
              </w:rPr>
            </w:r>
            <w:r>
              <w:rPr>
                <w:b/>
                <w:sz w:val="18"/>
              </w:rPr>
              <w:t>Priority band (Tool T-11)</w:t>
            </w:r>
          </w:p>
        </w:tc>
        <w:tc>
          <w:tcPr>
            <w:tcW w:type="dxa" w:w="6192"/>
          </w:tcPr>
          <w:p>
            <w:pPr>
              <w:spacing w:after="20" w:line="240" w:lineRule="auto"/>
            </w:pPr>
            <w:r/>
          </w:p>
        </w:tc>
      </w:tr>
    </w:tbl>
    <w:p>
      <w:pPr>
        <w:spacing w:after="0" w:before="0" w:line="80" w:lineRule="exact"/>
      </w:pPr>
      <w:r>
        <w:rPr>
          <w:sz w:val="8"/>
        </w:rPr>
      </w:r>
    </w:p>
    <w:p>
      <w:pPr>
        <w:pStyle w:val="Heading2"/>
      </w:pPr>
      <w:r>
        <w:t>C. Assessment</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3168"/>
        <w:gridCol w:w="6192"/>
      </w:tblGrid>
      <w:tr>
        <w:trPr>
          <w:cantSplit w:val="true"/>
          <w:trHeight w:val="605" w:hRule="atLeast"/>
        </w:trPr>
        <w:tc>
          <w:tcPr>
            <w:tcW w:type="dxa" w:w="3168"/>
            <w:shd w:val="clear" w:color="auto" w:fill="DCE6F1"/>
          </w:tcPr>
          <w:p>
            <w:pPr>
              <w:spacing w:after="20" w:line="240" w:lineRule="auto"/>
            </w:pPr>
            <w:r>
              <w:rPr>
                <w:b/>
              </w:rPr>
            </w:r>
            <w:r>
              <w:rPr>
                <w:b/>
                <w:sz w:val="18"/>
              </w:rPr>
              <w:t>Question (protocol reference, Tool T-12)</w:t>
            </w:r>
          </w:p>
        </w:tc>
        <w:tc>
          <w:tcPr>
            <w:tcW w:type="dxa" w:w="6192"/>
          </w:tcPr>
          <w:p>
            <w:pPr>
              <w:spacing w:after="20" w:line="240" w:lineRule="auto"/>
            </w:pPr>
            <w:r/>
          </w:p>
        </w:tc>
      </w:tr>
      <w:tr>
        <w:trPr>
          <w:cantSplit w:val="true"/>
          <w:trHeight w:val="605" w:hRule="atLeast"/>
        </w:trPr>
        <w:tc>
          <w:tcPr>
            <w:tcW w:type="dxa" w:w="3168"/>
            <w:shd w:val="clear" w:color="auto" w:fill="DCE6F1"/>
          </w:tcPr>
          <w:p>
            <w:pPr>
              <w:spacing w:after="20" w:line="240" w:lineRule="auto"/>
            </w:pPr>
            <w:r>
              <w:rPr>
                <w:b/>
              </w:rPr>
            </w:r>
            <w:r>
              <w:rPr>
                <w:b/>
                <w:sz w:val="18"/>
              </w:rPr>
              <w:t>Milestones and dates</w:t>
            </w:r>
          </w:p>
        </w:tc>
        <w:tc>
          <w:tcPr>
            <w:tcW w:type="dxa" w:w="6192"/>
          </w:tcPr>
          <w:p>
            <w:pPr>
              <w:spacing w:after="20" w:line="240" w:lineRule="auto"/>
            </w:pPr>
            <w:r/>
          </w:p>
        </w:tc>
      </w:tr>
      <w:tr>
        <w:trPr>
          <w:cantSplit w:val="true"/>
          <w:trHeight w:val="605" w:hRule="atLeast"/>
        </w:trPr>
        <w:tc>
          <w:tcPr>
            <w:tcW w:type="dxa" w:w="3168"/>
            <w:shd w:val="clear" w:color="auto" w:fill="DCE6F1"/>
          </w:tcPr>
          <w:p>
            <w:pPr>
              <w:spacing w:after="20" w:line="240" w:lineRule="auto"/>
            </w:pPr>
            <w:r>
              <w:rPr>
                <w:b/>
              </w:rPr>
            </w:r>
            <w:r>
              <w:rPr>
                <w:b/>
                <w:sz w:val="18"/>
              </w:rPr>
              <w:t>Linked records (complaints, CAPAs, returned-device reports, risk file entries)</w:t>
            </w:r>
          </w:p>
        </w:tc>
        <w:tc>
          <w:tcPr>
            <w:tcW w:type="dxa" w:w="6192"/>
          </w:tcPr>
          <w:p>
            <w:pPr>
              <w:spacing w:after="20" w:line="240" w:lineRule="auto"/>
            </w:pPr>
            <w:r/>
          </w:p>
        </w:tc>
      </w:tr>
      <w:tr>
        <w:trPr>
          <w:cantSplit w:val="true"/>
          <w:trHeight w:val="605" w:hRule="atLeast"/>
        </w:trPr>
        <w:tc>
          <w:tcPr>
            <w:tcW w:type="dxa" w:w="3168"/>
            <w:shd w:val="clear" w:color="auto" w:fill="DCE6F1"/>
          </w:tcPr>
          <w:p>
            <w:pPr>
              <w:spacing w:after="20" w:line="240" w:lineRule="auto"/>
            </w:pPr>
            <w:r>
              <w:rPr>
                <w:b/>
              </w:rPr>
            </w:r>
            <w:r>
              <w:rPr>
                <w:b/>
                <w:sz w:val="18"/>
              </w:rPr>
              <w:t>Evidence summary (Tool T-15 reference)</w:t>
            </w:r>
          </w:p>
        </w:tc>
        <w:tc>
          <w:tcPr>
            <w:tcW w:type="dxa" w:w="6192"/>
          </w:tcPr>
          <w:p>
            <w:pPr>
              <w:spacing w:after="20" w:line="240" w:lineRule="auto"/>
            </w:pPr>
            <w:r/>
          </w:p>
        </w:tc>
      </w:tr>
    </w:tbl>
    <w:p>
      <w:pPr>
        <w:spacing w:after="0" w:before="0" w:line="80" w:lineRule="exact"/>
      </w:pPr>
      <w:r>
        <w:rPr>
          <w:sz w:val="8"/>
        </w:rPr>
      </w:r>
    </w:p>
    <w:p>
      <w:pPr>
        <w:pStyle w:val="Heading2"/>
      </w:pPr>
      <w:r>
        <w:t>D. Decision</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3168"/>
        <w:gridCol w:w="6192"/>
      </w:tblGrid>
      <w:tr>
        <w:trPr>
          <w:cantSplit w:val="true"/>
          <w:trHeight w:val="547" w:hRule="atLeast"/>
        </w:trPr>
        <w:tc>
          <w:tcPr>
            <w:tcW w:type="dxa" w:w="3168"/>
            <w:shd w:val="clear" w:color="auto" w:fill="DCE6F1"/>
          </w:tcPr>
          <w:p>
            <w:pPr>
              <w:spacing w:after="20" w:line="240" w:lineRule="auto"/>
            </w:pPr>
            <w:r>
              <w:rPr>
                <w:b/>
              </w:rPr>
            </w:r>
            <w:r>
              <w:rPr>
                <w:b/>
                <w:sz w:val="18"/>
              </w:rPr>
              <w:t>Conclusion (confirmed / refuted / indeterminate)</w:t>
            </w:r>
          </w:p>
        </w:tc>
        <w:tc>
          <w:tcPr>
            <w:tcW w:type="dxa" w:w="6192"/>
          </w:tcPr>
          <w:p>
            <w:pPr>
              <w:spacing w:after="20" w:line="240" w:lineRule="auto"/>
            </w:pPr>
            <w:r/>
          </w:p>
        </w:tc>
      </w:tr>
      <w:tr>
        <w:trPr>
          <w:cantSplit w:val="true"/>
          <w:trHeight w:val="547" w:hRule="atLeast"/>
        </w:trPr>
        <w:tc>
          <w:tcPr>
            <w:tcW w:type="dxa" w:w="3168"/>
            <w:shd w:val="clear" w:color="auto" w:fill="DCE6F1"/>
          </w:tcPr>
          <w:p>
            <w:pPr>
              <w:spacing w:after="20" w:line="240" w:lineRule="auto"/>
            </w:pPr>
            <w:r>
              <w:rPr>
                <w:b/>
              </w:rPr>
            </w:r>
            <w:r>
              <w:rPr>
                <w:b/>
                <w:sz w:val="18"/>
              </w:rPr>
              <w:t>Decision and rationale</w:t>
            </w:r>
          </w:p>
        </w:tc>
        <w:tc>
          <w:tcPr>
            <w:tcW w:type="dxa" w:w="6192"/>
          </w:tcPr>
          <w:p>
            <w:pPr>
              <w:spacing w:after="20" w:line="240" w:lineRule="auto"/>
            </w:pPr>
            <w:r/>
          </w:p>
        </w:tc>
      </w:tr>
      <w:tr>
        <w:trPr>
          <w:cantSplit w:val="true"/>
          <w:trHeight w:val="547" w:hRule="atLeast"/>
        </w:trPr>
        <w:tc>
          <w:tcPr>
            <w:tcW w:type="dxa" w:w="3168"/>
            <w:shd w:val="clear" w:color="auto" w:fill="DCE6F1"/>
          </w:tcPr>
          <w:p>
            <w:pPr>
              <w:spacing w:after="20" w:line="240" w:lineRule="auto"/>
            </w:pPr>
            <w:r>
              <w:rPr>
                <w:b/>
              </w:rPr>
            </w:r>
            <w:r>
              <w:rPr>
                <w:b/>
                <w:sz w:val="18"/>
              </w:rPr>
              <w:t>Actions (Tool T-17 reference; CAPA; FSCA)</w:t>
            </w:r>
          </w:p>
        </w:tc>
        <w:tc>
          <w:tcPr>
            <w:tcW w:type="dxa" w:w="6192"/>
          </w:tcPr>
          <w:p>
            <w:pPr>
              <w:spacing w:after="20" w:line="240" w:lineRule="auto"/>
            </w:pPr>
            <w:r/>
          </w:p>
        </w:tc>
      </w:tr>
      <w:tr>
        <w:trPr>
          <w:cantSplit w:val="true"/>
          <w:trHeight w:val="547" w:hRule="atLeast"/>
        </w:trPr>
        <w:tc>
          <w:tcPr>
            <w:tcW w:type="dxa" w:w="3168"/>
            <w:shd w:val="clear" w:color="auto" w:fill="DCE6F1"/>
          </w:tcPr>
          <w:p>
            <w:pPr>
              <w:spacing w:after="20" w:line="240" w:lineRule="auto"/>
            </w:pPr>
            <w:r>
              <w:rPr>
                <w:b/>
              </w:rPr>
            </w:r>
            <w:r>
              <w:rPr>
                <w:b/>
                <w:sz w:val="18"/>
              </w:rPr>
              <w:t>Reportability decisions</w:t>
            </w:r>
          </w:p>
        </w:tc>
        <w:tc>
          <w:tcPr>
            <w:tcW w:type="dxa" w:w="6192"/>
          </w:tcPr>
          <w:p>
            <w:pPr>
              <w:spacing w:after="20" w:line="240" w:lineRule="auto"/>
            </w:pPr>
            <w:r/>
          </w:p>
        </w:tc>
      </w:tr>
      <w:tr>
        <w:trPr>
          <w:cantSplit w:val="true"/>
          <w:trHeight w:val="547" w:hRule="atLeast"/>
        </w:trPr>
        <w:tc>
          <w:tcPr>
            <w:tcW w:type="dxa" w:w="3168"/>
            <w:shd w:val="clear" w:color="auto" w:fill="DCE6F1"/>
          </w:tcPr>
          <w:p>
            <w:pPr>
              <w:spacing w:after="20" w:line="240" w:lineRule="auto"/>
            </w:pPr>
            <w:r>
              <w:rPr>
                <w:b/>
              </w:rPr>
            </w:r>
            <w:r>
              <w:rPr>
                <w:b/>
                <w:sz w:val="18"/>
              </w:rPr>
              <w:t>Decision-maker and date</w:t>
            </w:r>
          </w:p>
        </w:tc>
        <w:tc>
          <w:tcPr>
            <w:tcW w:type="dxa" w:w="6192"/>
          </w:tcPr>
          <w:p>
            <w:pPr>
              <w:spacing w:after="20" w:line="240" w:lineRule="auto"/>
            </w:pPr>
            <w:r/>
          </w:p>
        </w:tc>
      </w:tr>
      <w:tr>
        <w:trPr>
          <w:cantSplit w:val="true"/>
          <w:trHeight w:val="547" w:hRule="atLeast"/>
        </w:trPr>
        <w:tc>
          <w:tcPr>
            <w:tcW w:type="dxa" w:w="3168"/>
            <w:shd w:val="clear" w:color="auto" w:fill="DCE6F1"/>
          </w:tcPr>
          <w:p>
            <w:pPr>
              <w:spacing w:after="20" w:line="240" w:lineRule="auto"/>
            </w:pPr>
            <w:r>
              <w:rPr>
                <w:b/>
              </w:rPr>
            </w:r>
            <w:r>
              <w:rPr>
                <w:b/>
                <w:sz w:val="18"/>
              </w:rPr>
              <w:t>Reopening trigger(s)</w:t>
            </w:r>
          </w:p>
        </w:tc>
        <w:tc>
          <w:tcPr>
            <w:tcW w:type="dxa" w:w="6192"/>
          </w:tcPr>
          <w:p>
            <w:pPr>
              <w:spacing w:after="20" w:line="240" w:lineRule="auto"/>
            </w:pPr>
            <w:r/>
          </w:p>
        </w:tc>
      </w:tr>
    </w:tbl>
    <w:p>
      <w:pPr>
        <w:spacing w:after="0" w:before="0" w:line="80" w:lineRule="exact"/>
      </w:pPr>
      <w:r>
        <w:rPr>
          <w:sz w:val="8"/>
        </w:rPr>
      </w:r>
    </w:p>
    <w:p>
      <w:pPr>
        <w:pStyle w:val="Heading3"/>
      </w:pPr>
      <w:r>
        <w:t>Chronological entries (never overwrite; add dated entries)</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1440"/>
        <w:gridCol w:w="6336"/>
        <w:gridCol w:w="1584"/>
      </w:tblGrid>
      <w:tr>
        <w:trPr>
          <w:tblHeader w:val="true"/>
          <w:cantSplit w:val="true"/>
        </w:trPr>
        <w:tc>
          <w:tcPr>
            <w:tcW w:type="dxa" w:w="1440"/>
            <w:shd w:val="clear" w:color="auto" w:fill="17375E"/>
            <w:vAlign w:val="center"/>
          </w:tcPr>
          <w:p>
            <w:pPr>
              <w:spacing w:after="20" w:line="240" w:lineRule="auto"/>
            </w:pPr>
            <w:r>
              <w:rPr>
                <w:b/>
              </w:rPr>
            </w:r>
            <w:r>
              <w:rPr>
                <w:b/>
                <w:color w:val="FFFFFF"/>
                <w:sz w:val="18"/>
              </w:rPr>
              <w:t>Date</w:t>
            </w:r>
          </w:p>
        </w:tc>
        <w:tc>
          <w:tcPr>
            <w:tcW w:type="dxa" w:w="6336"/>
            <w:shd w:val="clear" w:color="auto" w:fill="17375E"/>
            <w:vAlign w:val="center"/>
          </w:tcPr>
          <w:p>
            <w:pPr>
              <w:spacing w:after="20" w:line="240" w:lineRule="auto"/>
            </w:pPr>
            <w:r>
              <w:rPr>
                <w:b/>
              </w:rPr>
            </w:r>
            <w:r>
              <w:rPr>
                <w:b/>
                <w:color w:val="FFFFFF"/>
                <w:sz w:val="18"/>
              </w:rPr>
              <w:t>Entry</w:t>
            </w:r>
          </w:p>
        </w:tc>
        <w:tc>
          <w:tcPr>
            <w:tcW w:type="dxa" w:w="1584"/>
            <w:shd w:val="clear" w:color="auto" w:fill="17375E"/>
            <w:vAlign w:val="center"/>
          </w:tcPr>
          <w:p>
            <w:pPr>
              <w:spacing w:after="20" w:line="240" w:lineRule="auto"/>
            </w:pPr>
            <w:r>
              <w:rPr>
                <w:b/>
              </w:rPr>
            </w:r>
            <w:r>
              <w:rPr>
                <w:b/>
                <w:color w:val="FFFFFF"/>
                <w:sz w:val="18"/>
              </w:rPr>
              <w:t>By</w:t>
            </w:r>
          </w:p>
        </w:tc>
      </w:tr>
      <w:tr>
        <w:trPr>
          <w:cantSplit w:val="true"/>
          <w:trHeight w:val="461" w:hRule="atLeast"/>
        </w:trPr>
        <w:tc>
          <w:tcPr>
            <w:tcW w:type="dxa" w:w="1440"/>
          </w:tcPr>
          <w:p>
            <w:pPr>
              <w:spacing w:after="20" w:line="240" w:lineRule="auto"/>
            </w:pPr>
            <w:r/>
          </w:p>
        </w:tc>
        <w:tc>
          <w:tcPr>
            <w:tcW w:type="dxa" w:w="6336"/>
          </w:tcPr>
          <w:p>
            <w:pPr>
              <w:spacing w:after="20" w:line="240" w:lineRule="auto"/>
            </w:pPr>
            <w:r/>
          </w:p>
        </w:tc>
        <w:tc>
          <w:tcPr>
            <w:tcW w:type="dxa" w:w="1584"/>
          </w:tcPr>
          <w:p>
            <w:pPr>
              <w:spacing w:after="20" w:line="240" w:lineRule="auto"/>
            </w:pPr>
            <w:r/>
          </w:p>
        </w:tc>
      </w:tr>
      <w:tr>
        <w:trPr>
          <w:cantSplit w:val="true"/>
          <w:trHeight w:val="461" w:hRule="atLeast"/>
        </w:trPr>
        <w:tc>
          <w:tcPr>
            <w:tcW w:type="dxa" w:w="1440"/>
          </w:tcPr>
          <w:p>
            <w:pPr>
              <w:spacing w:after="20" w:line="240" w:lineRule="auto"/>
            </w:pPr>
            <w:r/>
          </w:p>
        </w:tc>
        <w:tc>
          <w:tcPr>
            <w:tcW w:type="dxa" w:w="6336"/>
          </w:tcPr>
          <w:p>
            <w:pPr>
              <w:spacing w:after="20" w:line="240" w:lineRule="auto"/>
            </w:pPr>
            <w:r/>
          </w:p>
        </w:tc>
        <w:tc>
          <w:tcPr>
            <w:tcW w:type="dxa" w:w="1584"/>
          </w:tcPr>
          <w:p>
            <w:pPr>
              <w:spacing w:after="20" w:line="240" w:lineRule="auto"/>
            </w:pPr>
            <w:r/>
          </w:p>
        </w:tc>
      </w:tr>
      <w:tr>
        <w:trPr>
          <w:cantSplit w:val="true"/>
          <w:trHeight w:val="461" w:hRule="atLeast"/>
        </w:trPr>
        <w:tc>
          <w:tcPr>
            <w:tcW w:type="dxa" w:w="1440"/>
          </w:tcPr>
          <w:p>
            <w:pPr>
              <w:spacing w:after="20" w:line="240" w:lineRule="auto"/>
            </w:pPr>
            <w:r/>
          </w:p>
        </w:tc>
        <w:tc>
          <w:tcPr>
            <w:tcW w:type="dxa" w:w="6336"/>
          </w:tcPr>
          <w:p>
            <w:pPr>
              <w:spacing w:after="20" w:line="240" w:lineRule="auto"/>
            </w:pPr>
            <w:r/>
          </w:p>
        </w:tc>
        <w:tc>
          <w:tcPr>
            <w:tcW w:type="dxa" w:w="1584"/>
          </w:tcPr>
          <w:p>
            <w:pPr>
              <w:spacing w:after="20" w:line="240" w:lineRule="auto"/>
            </w:pPr>
            <w:r/>
          </w:p>
        </w:tc>
      </w:tr>
      <w:tr>
        <w:trPr>
          <w:cantSplit w:val="true"/>
          <w:trHeight w:val="461" w:hRule="atLeast"/>
        </w:trPr>
        <w:tc>
          <w:tcPr>
            <w:tcW w:type="dxa" w:w="1440"/>
          </w:tcPr>
          <w:p>
            <w:pPr>
              <w:spacing w:after="20" w:line="240" w:lineRule="auto"/>
            </w:pPr>
            <w:r/>
          </w:p>
        </w:tc>
        <w:tc>
          <w:tcPr>
            <w:tcW w:type="dxa" w:w="6336"/>
          </w:tcPr>
          <w:p>
            <w:pPr>
              <w:spacing w:after="20" w:line="240" w:lineRule="auto"/>
            </w:pPr>
            <w:r/>
          </w:p>
        </w:tc>
        <w:tc>
          <w:tcPr>
            <w:tcW w:type="dxa" w:w="1584"/>
          </w:tcPr>
          <w:p>
            <w:pPr>
              <w:spacing w:after="20" w:line="240" w:lineRule="auto"/>
            </w:pPr>
            <w:r/>
          </w:p>
        </w:tc>
      </w:tr>
      <w:tr>
        <w:trPr>
          <w:cantSplit w:val="true"/>
          <w:trHeight w:val="461" w:hRule="atLeast"/>
        </w:trPr>
        <w:tc>
          <w:tcPr>
            <w:tcW w:type="dxa" w:w="1440"/>
          </w:tcPr>
          <w:p>
            <w:pPr>
              <w:spacing w:after="20" w:line="240" w:lineRule="auto"/>
            </w:pPr>
            <w:r/>
          </w:p>
        </w:tc>
        <w:tc>
          <w:tcPr>
            <w:tcW w:type="dxa" w:w="6336"/>
          </w:tcPr>
          <w:p>
            <w:pPr>
              <w:spacing w:after="20" w:line="240" w:lineRule="auto"/>
            </w:pPr>
            <w:r/>
          </w:p>
        </w:tc>
        <w:tc>
          <w:tcPr>
            <w:tcW w:type="dxa" w:w="1584"/>
          </w:tcPr>
          <w:p>
            <w:pPr>
              <w:spacing w:after="20" w:line="240" w:lineRule="auto"/>
            </w:pPr>
            <w:r/>
          </w:p>
        </w:tc>
      </w:tr>
    </w:tbl>
    <w:p>
      <w:pPr>
        <w:spacing w:after="0" w:before="0" w:line="80" w:lineRule="exact"/>
      </w:pPr>
      <w:r>
        <w:rPr>
          <w:sz w:val="8"/>
        </w:rPr>
      </w:r>
    </w:p>
    <w:p>
      <w:pPr>
        <w:pStyle w:val="Heading1"/>
      </w:pPr>
      <w:r>
        <w:t>Template 2 — Closure memo</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2880"/>
        <w:gridCol w:w="6480"/>
      </w:tblGrid>
      <w:tr>
        <w:trPr>
          <w:cantSplit w:val="true"/>
          <w:trHeight w:val="605" w:hRule="atLeast"/>
        </w:trPr>
        <w:tc>
          <w:tcPr>
            <w:tcW w:type="dxa" w:w="2880"/>
            <w:shd w:val="clear" w:color="auto" w:fill="DCE6F1"/>
          </w:tcPr>
          <w:p>
            <w:pPr>
              <w:spacing w:after="20" w:line="240" w:lineRule="auto"/>
            </w:pPr>
            <w:r>
              <w:rPr>
                <w:b/>
              </w:rPr>
            </w:r>
            <w:r>
              <w:rPr>
                <w:b/>
                <w:sz w:val="18"/>
              </w:rPr>
              <w:t>Record ID and product</w:t>
            </w:r>
          </w:p>
        </w:tc>
        <w:tc>
          <w:tcPr>
            <w:tcW w:type="dxa" w:w="6480"/>
          </w:tcPr>
          <w:p>
            <w:pPr>
              <w:spacing w:after="20" w:line="240" w:lineRule="auto"/>
            </w:pPr>
            <w:r/>
          </w:p>
        </w:tc>
      </w:tr>
      <w:tr>
        <w:trPr>
          <w:cantSplit w:val="true"/>
          <w:trHeight w:val="605" w:hRule="atLeast"/>
        </w:trPr>
        <w:tc>
          <w:tcPr>
            <w:tcW w:type="dxa" w:w="2880"/>
            <w:shd w:val="clear" w:color="auto" w:fill="DCE6F1"/>
          </w:tcPr>
          <w:p>
            <w:pPr>
              <w:spacing w:after="20" w:line="240" w:lineRule="auto"/>
            </w:pPr>
            <w:r>
              <w:rPr>
                <w:b/>
              </w:rPr>
            </w:r>
            <w:r>
              <w:rPr>
                <w:b/>
                <w:sz w:val="18"/>
              </w:rPr>
              <w:t>Data cut and method</w:t>
            </w:r>
          </w:p>
        </w:tc>
        <w:tc>
          <w:tcPr>
            <w:tcW w:type="dxa" w:w="6480"/>
          </w:tcPr>
          <w:p>
            <w:pPr>
              <w:spacing w:after="20" w:line="240" w:lineRule="auto"/>
            </w:pPr>
            <w:r/>
          </w:p>
        </w:tc>
      </w:tr>
      <w:tr>
        <w:trPr>
          <w:cantSplit w:val="true"/>
          <w:trHeight w:val="605" w:hRule="atLeast"/>
        </w:trPr>
        <w:tc>
          <w:tcPr>
            <w:tcW w:type="dxa" w:w="2880"/>
            <w:shd w:val="clear" w:color="auto" w:fill="DCE6F1"/>
          </w:tcPr>
          <w:p>
            <w:pPr>
              <w:spacing w:after="20" w:line="240" w:lineRule="auto"/>
            </w:pPr>
            <w:r>
              <w:rPr>
                <w:b/>
              </w:rPr>
            </w:r>
            <w:r>
              <w:rPr>
                <w:b/>
                <w:sz w:val="18"/>
              </w:rPr>
              <w:t>Result</w:t>
            </w:r>
          </w:p>
        </w:tc>
        <w:tc>
          <w:tcPr>
            <w:tcW w:type="dxa" w:w="6480"/>
          </w:tcPr>
          <w:p>
            <w:pPr>
              <w:spacing w:after="20" w:line="240" w:lineRule="auto"/>
            </w:pPr>
            <w:r/>
          </w:p>
        </w:tc>
      </w:tr>
      <w:tr>
        <w:trPr>
          <w:cantSplit w:val="true"/>
          <w:trHeight w:val="605" w:hRule="atLeast"/>
        </w:trPr>
        <w:tc>
          <w:tcPr>
            <w:tcW w:type="dxa" w:w="2880"/>
            <w:shd w:val="clear" w:color="auto" w:fill="DCE6F1"/>
          </w:tcPr>
          <w:p>
            <w:pPr>
              <w:spacing w:after="20" w:line="240" w:lineRule="auto"/>
            </w:pPr>
            <w:r>
              <w:rPr>
                <w:b/>
              </w:rPr>
            </w:r>
            <w:r>
              <w:rPr>
                <w:b/>
                <w:sz w:val="18"/>
              </w:rPr>
              <w:t>Status and conclusion</w:t>
            </w:r>
          </w:p>
        </w:tc>
        <w:tc>
          <w:tcPr>
            <w:tcW w:type="dxa" w:w="6480"/>
          </w:tcPr>
          <w:p>
            <w:pPr>
              <w:spacing w:after="20" w:line="240" w:lineRule="auto"/>
            </w:pPr>
            <w:r/>
          </w:p>
        </w:tc>
      </w:tr>
      <w:tr>
        <w:trPr>
          <w:cantSplit w:val="true"/>
          <w:trHeight w:val="605" w:hRule="atLeast"/>
        </w:trPr>
        <w:tc>
          <w:tcPr>
            <w:tcW w:type="dxa" w:w="2880"/>
            <w:shd w:val="clear" w:color="auto" w:fill="DCE6F1"/>
          </w:tcPr>
          <w:p>
            <w:pPr>
              <w:spacing w:after="20" w:line="240" w:lineRule="auto"/>
            </w:pPr>
            <w:r>
              <w:rPr>
                <w:b/>
              </w:rPr>
            </w:r>
            <w:r>
              <w:rPr>
                <w:b/>
                <w:sz w:val="18"/>
              </w:rPr>
              <w:t>Rationale</w:t>
            </w:r>
          </w:p>
        </w:tc>
        <w:tc>
          <w:tcPr>
            <w:tcW w:type="dxa" w:w="6480"/>
          </w:tcPr>
          <w:p>
            <w:pPr>
              <w:spacing w:after="20" w:line="240" w:lineRule="auto"/>
            </w:pPr>
            <w:r/>
          </w:p>
        </w:tc>
      </w:tr>
      <w:tr>
        <w:trPr>
          <w:cantSplit w:val="true"/>
          <w:trHeight w:val="605" w:hRule="atLeast"/>
        </w:trPr>
        <w:tc>
          <w:tcPr>
            <w:tcW w:type="dxa" w:w="2880"/>
            <w:shd w:val="clear" w:color="auto" w:fill="DCE6F1"/>
          </w:tcPr>
          <w:p>
            <w:pPr>
              <w:spacing w:after="20" w:line="240" w:lineRule="auto"/>
            </w:pPr>
            <w:r>
              <w:rPr>
                <w:b/>
              </w:rPr>
            </w:r>
            <w:r>
              <w:rPr>
                <w:b/>
                <w:sz w:val="18"/>
              </w:rPr>
              <w:t>Actions</w:t>
            </w:r>
          </w:p>
        </w:tc>
        <w:tc>
          <w:tcPr>
            <w:tcW w:type="dxa" w:w="6480"/>
          </w:tcPr>
          <w:p>
            <w:pPr>
              <w:spacing w:after="20" w:line="240" w:lineRule="auto"/>
            </w:pPr>
            <w:r/>
          </w:p>
        </w:tc>
      </w:tr>
      <w:tr>
        <w:trPr>
          <w:cantSplit w:val="true"/>
          <w:trHeight w:val="605" w:hRule="atLeast"/>
        </w:trPr>
        <w:tc>
          <w:tcPr>
            <w:tcW w:type="dxa" w:w="2880"/>
            <w:shd w:val="clear" w:color="auto" w:fill="DCE6F1"/>
          </w:tcPr>
          <w:p>
            <w:pPr>
              <w:spacing w:after="20" w:line="240" w:lineRule="auto"/>
            </w:pPr>
            <w:r>
              <w:rPr>
                <w:b/>
              </w:rPr>
            </w:r>
            <w:r>
              <w:rPr>
                <w:b/>
                <w:sz w:val="18"/>
              </w:rPr>
              <w:t>Reopening triggers</w:t>
            </w:r>
          </w:p>
        </w:tc>
        <w:tc>
          <w:tcPr>
            <w:tcW w:type="dxa" w:w="6480"/>
          </w:tcPr>
          <w:p>
            <w:pPr>
              <w:spacing w:after="20" w:line="240" w:lineRule="auto"/>
            </w:pPr>
            <w:r/>
          </w:p>
        </w:tc>
      </w:tr>
      <w:tr>
        <w:trPr>
          <w:cantSplit w:val="true"/>
          <w:trHeight w:val="605" w:hRule="atLeast"/>
        </w:trPr>
        <w:tc>
          <w:tcPr>
            <w:tcW w:type="dxa" w:w="2880"/>
            <w:shd w:val="clear" w:color="auto" w:fill="DCE6F1"/>
          </w:tcPr>
          <w:p>
            <w:pPr>
              <w:spacing w:after="20" w:line="240" w:lineRule="auto"/>
            </w:pPr>
            <w:r>
              <w:rPr>
                <w:b/>
              </w:rPr>
            </w:r>
            <w:r>
              <w:rPr>
                <w:b/>
                <w:sz w:val="18"/>
              </w:rPr>
              <w:t>Decided by / date</w:t>
            </w:r>
          </w:p>
        </w:tc>
        <w:tc>
          <w:tcPr>
            <w:tcW w:type="dxa" w:w="6480"/>
          </w:tcPr>
          <w:p>
            <w:pPr>
              <w:spacing w:after="20" w:line="240" w:lineRule="auto"/>
            </w:pPr>
            <w:r/>
          </w:p>
        </w:tc>
      </w:tr>
    </w:tbl>
    <w:p>
      <w:pPr>
        <w:spacing w:after="0" w:before="0" w:line="80" w:lineRule="exact"/>
      </w:pPr>
      <w:r>
        <w:rPr>
          <w:sz w:val="8"/>
        </w:rPr>
      </w:r>
    </w:p>
    <w:p>
      <w:r>
        <w:rPr>
          <w:b w:val="0"/>
          <w:i/>
          <w:color w:val="595959"/>
          <w:sz w:val="18"/>
        </w:rPr>
        <w:t>"Closed" is an administrative status, not a finding. State the conclusion separately.</w:t>
      </w:r>
    </w:p>
    <w:p>
      <w:pPr>
        <w:pStyle w:val="Heading1"/>
      </w:pPr>
      <w:r>
        <w:t>Template 3 — Reopening review</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3168"/>
        <w:gridCol w:w="6192"/>
      </w:tblGrid>
      <w:tr>
        <w:trPr>
          <w:cantSplit w:val="true"/>
          <w:trHeight w:val="576" w:hRule="atLeast"/>
        </w:trPr>
        <w:tc>
          <w:tcPr>
            <w:tcW w:type="dxa" w:w="3168"/>
            <w:shd w:val="clear" w:color="auto" w:fill="DCE6F1"/>
          </w:tcPr>
          <w:p>
            <w:pPr>
              <w:spacing w:after="20" w:line="240" w:lineRule="auto"/>
            </w:pPr>
            <w:r>
              <w:rPr>
                <w:b/>
              </w:rPr>
            </w:r>
            <w:r>
              <w:rPr>
                <w:b/>
                <w:sz w:val="18"/>
              </w:rPr>
              <w:t>Record reopened (ID) and link to the previous entry</w:t>
            </w:r>
          </w:p>
        </w:tc>
        <w:tc>
          <w:tcPr>
            <w:tcW w:type="dxa" w:w="6192"/>
          </w:tcPr>
          <w:p>
            <w:pPr>
              <w:spacing w:after="20" w:line="240" w:lineRule="auto"/>
            </w:pPr>
            <w:r/>
          </w:p>
        </w:tc>
      </w:tr>
      <w:tr>
        <w:trPr>
          <w:cantSplit w:val="true"/>
          <w:trHeight w:val="576" w:hRule="atLeast"/>
        </w:trPr>
        <w:tc>
          <w:tcPr>
            <w:tcW w:type="dxa" w:w="3168"/>
            <w:shd w:val="clear" w:color="auto" w:fill="DCE6F1"/>
          </w:tcPr>
          <w:p>
            <w:pPr>
              <w:spacing w:after="20" w:line="240" w:lineRule="auto"/>
            </w:pPr>
            <w:r>
              <w:rPr>
                <w:b/>
              </w:rPr>
            </w:r>
            <w:r>
              <w:rPr>
                <w:b/>
                <w:sz w:val="18"/>
              </w:rPr>
              <w:t>Trigger that fired, and date</w:t>
            </w:r>
          </w:p>
        </w:tc>
        <w:tc>
          <w:tcPr>
            <w:tcW w:type="dxa" w:w="6192"/>
          </w:tcPr>
          <w:p>
            <w:pPr>
              <w:spacing w:after="20" w:line="240" w:lineRule="auto"/>
            </w:pPr>
            <w:r/>
          </w:p>
        </w:tc>
      </w:tr>
      <w:tr>
        <w:trPr>
          <w:cantSplit w:val="true"/>
          <w:trHeight w:val="576" w:hRule="atLeast"/>
        </w:trPr>
        <w:tc>
          <w:tcPr>
            <w:tcW w:type="dxa" w:w="3168"/>
            <w:shd w:val="clear" w:color="auto" w:fill="DCE6F1"/>
          </w:tcPr>
          <w:p>
            <w:pPr>
              <w:spacing w:after="20" w:line="240" w:lineRule="auto"/>
            </w:pPr>
            <w:r>
              <w:rPr>
                <w:b/>
              </w:rPr>
            </w:r>
            <w:r>
              <w:rPr>
                <w:b/>
                <w:sz w:val="18"/>
              </w:rPr>
              <w:t>What has changed since closure (data, design, supplier, severity)</w:t>
            </w:r>
          </w:p>
        </w:tc>
        <w:tc>
          <w:tcPr>
            <w:tcW w:type="dxa" w:w="6192"/>
          </w:tcPr>
          <w:p>
            <w:pPr>
              <w:spacing w:after="20" w:line="240" w:lineRule="auto"/>
            </w:pPr>
            <w:r/>
          </w:p>
        </w:tc>
      </w:tr>
      <w:tr>
        <w:trPr>
          <w:cantSplit w:val="true"/>
          <w:trHeight w:val="576" w:hRule="atLeast"/>
        </w:trPr>
        <w:tc>
          <w:tcPr>
            <w:tcW w:type="dxa" w:w="3168"/>
            <w:shd w:val="clear" w:color="auto" w:fill="DCE6F1"/>
          </w:tcPr>
          <w:p>
            <w:pPr>
              <w:spacing w:after="20" w:line="240" w:lineRule="auto"/>
            </w:pPr>
            <w:r>
              <w:rPr>
                <w:b/>
              </w:rPr>
            </w:r>
            <w:r>
              <w:rPr>
                <w:b/>
                <w:sz w:val="18"/>
              </w:rPr>
              <w:t>Does the earlier conclusion still stand?</w:t>
            </w:r>
          </w:p>
        </w:tc>
        <w:tc>
          <w:tcPr>
            <w:tcW w:type="dxa" w:w="6192"/>
          </w:tcPr>
          <w:p>
            <w:pPr>
              <w:spacing w:after="20" w:line="240" w:lineRule="auto"/>
            </w:pPr>
            <w:r/>
          </w:p>
        </w:tc>
      </w:tr>
      <w:tr>
        <w:trPr>
          <w:cantSplit w:val="true"/>
          <w:trHeight w:val="576" w:hRule="atLeast"/>
        </w:trPr>
        <w:tc>
          <w:tcPr>
            <w:tcW w:type="dxa" w:w="3168"/>
            <w:shd w:val="clear" w:color="auto" w:fill="DCE6F1"/>
          </w:tcPr>
          <w:p>
            <w:pPr>
              <w:spacing w:after="20" w:line="240" w:lineRule="auto"/>
            </w:pPr>
            <w:r>
              <w:rPr>
                <w:b/>
              </w:rPr>
            </w:r>
            <w:r>
              <w:rPr>
                <w:b/>
                <w:sz w:val="18"/>
              </w:rPr>
              <w:t>Who decides whether to reopen the full assessment</w:t>
            </w:r>
          </w:p>
        </w:tc>
        <w:tc>
          <w:tcPr>
            <w:tcW w:type="dxa" w:w="6192"/>
          </w:tcPr>
          <w:p>
            <w:pPr>
              <w:spacing w:after="20" w:line="240" w:lineRule="auto"/>
            </w:pPr>
            <w:r/>
          </w:p>
        </w:tc>
      </w:tr>
      <w:tr>
        <w:trPr>
          <w:cantSplit w:val="true"/>
          <w:trHeight w:val="576" w:hRule="atLeast"/>
        </w:trPr>
        <w:tc>
          <w:tcPr>
            <w:tcW w:type="dxa" w:w="3168"/>
            <w:shd w:val="clear" w:color="auto" w:fill="DCE6F1"/>
          </w:tcPr>
          <w:p>
            <w:pPr>
              <w:spacing w:after="20" w:line="240" w:lineRule="auto"/>
            </w:pPr>
            <w:r>
              <w:rPr>
                <w:b/>
              </w:rPr>
            </w:r>
            <w:r>
              <w:rPr>
                <w:b/>
                <w:sz w:val="18"/>
              </w:rPr>
              <w:t>Decision</w:t>
            </w:r>
          </w:p>
        </w:tc>
        <w:tc>
          <w:tcPr>
            <w:tcW w:type="dxa" w:w="6192"/>
          </w:tcPr>
          <w:p>
            <w:pPr>
              <w:spacing w:after="20" w:line="240" w:lineRule="auto"/>
            </w:pPr>
            <w:r/>
          </w:p>
        </w:tc>
      </w:tr>
      <w:tr>
        <w:trPr>
          <w:cantSplit w:val="true"/>
          <w:trHeight w:val="576" w:hRule="atLeast"/>
        </w:trPr>
        <w:tc>
          <w:tcPr>
            <w:tcW w:type="dxa" w:w="3168"/>
            <w:shd w:val="clear" w:color="auto" w:fill="DCE6F1"/>
          </w:tcPr>
          <w:p>
            <w:pPr>
              <w:spacing w:after="20" w:line="240" w:lineRule="auto"/>
            </w:pPr>
            <w:r>
              <w:rPr>
                <w:b/>
              </w:rPr>
            </w:r>
            <w:r>
              <w:rPr>
                <w:b/>
                <w:sz w:val="18"/>
              </w:rPr>
              <w:t>If "no change": rationale and new trigger</w:t>
            </w:r>
          </w:p>
        </w:tc>
        <w:tc>
          <w:tcPr>
            <w:tcW w:type="dxa" w:w="6192"/>
          </w:tcPr>
          <w:p>
            <w:pPr>
              <w:spacing w:after="20" w:line="240" w:lineRule="auto"/>
            </w:pPr>
            <w:r/>
          </w:p>
        </w:tc>
      </w:tr>
      <w:tr>
        <w:trPr>
          <w:cantSplit w:val="true"/>
          <w:trHeight w:val="576" w:hRule="atLeast"/>
        </w:trPr>
        <w:tc>
          <w:tcPr>
            <w:tcW w:type="dxa" w:w="3168"/>
            <w:shd w:val="clear" w:color="auto" w:fill="DCE6F1"/>
          </w:tcPr>
          <w:p>
            <w:pPr>
              <w:spacing w:after="20" w:line="240" w:lineRule="auto"/>
            </w:pPr>
            <w:r>
              <w:rPr>
                <w:b/>
              </w:rPr>
            </w:r>
            <w:r>
              <w:rPr>
                <w:b/>
                <w:sz w:val="18"/>
              </w:rPr>
              <w:t>Decided by / date</w:t>
            </w:r>
          </w:p>
        </w:tc>
        <w:tc>
          <w:tcPr>
            <w:tcW w:type="dxa" w:w="6192"/>
          </w:tcPr>
          <w:p>
            <w:pPr>
              <w:spacing w:after="20" w:line="240" w:lineRule="auto"/>
            </w:pPr>
            <w:r/>
          </w:p>
        </w:tc>
      </w:tr>
    </w:tbl>
    <w:p>
      <w:pPr>
        <w:spacing w:after="0" w:before="0" w:line="80" w:lineRule="exact"/>
      </w:pPr>
      <w:r>
        <w:rPr>
          <w:sz w:val="8"/>
        </w:rPr>
      </w:r>
    </w:p>
    <w:p>
      <w:pPr>
        <w:pStyle w:val="Heading1"/>
        <w:pageBreakBefore/>
      </w:pPr>
      <w:r>
        <w:t>Example (fictional case)</w:t>
      </w:r>
    </w:p>
    <w:p>
      <w:r>
        <w:rPr>
          <w:b w:val="0"/>
          <w:i/>
          <w:color w:val="595959"/>
          <w:sz w:val="18"/>
        </w:rPr>
        <w:t>All names, numbers and events below are fictional composites from the book's case dossiers. They show the expected level of detail, not a regulatory standard. Suturex, Year 2 episode (months 5–6), reconstructed as it should have been recorded using only what was known then. Bracketed entries are placeholders.</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2736"/>
        <w:gridCol w:w="6623"/>
      </w:tblGrid>
      <w:tr>
        <w:trPr>
          <w:tblHeader w:val="true"/>
          <w:cantSplit w:val="true"/>
        </w:trPr>
        <w:tc>
          <w:tcPr>
            <w:tcW w:type="dxa" w:w="2736"/>
            <w:shd w:val="clear" w:color="auto" w:fill="17375E"/>
            <w:vAlign w:val="center"/>
          </w:tcPr>
          <w:p>
            <w:pPr>
              <w:spacing w:after="20" w:line="240" w:lineRule="auto"/>
            </w:pPr>
            <w:r>
              <w:rPr>
                <w:b/>
              </w:rPr>
            </w:r>
            <w:r>
              <w:rPr>
                <w:b/>
                <w:color w:val="FFFFFF"/>
                <w:sz w:val="18"/>
              </w:rPr>
              <w:t>Field</w:t>
            </w:r>
          </w:p>
        </w:tc>
        <w:tc>
          <w:tcPr>
            <w:tcW w:type="dxa" w:w="6624"/>
            <w:shd w:val="clear" w:color="auto" w:fill="17375E"/>
            <w:vAlign w:val="center"/>
          </w:tcPr>
          <w:p>
            <w:pPr>
              <w:spacing w:after="20" w:line="240" w:lineRule="auto"/>
            </w:pPr>
            <w:r>
              <w:rPr>
                <w:b/>
              </w:rPr>
            </w:r>
            <w:r>
              <w:rPr>
                <w:b/>
                <w:color w:val="FFFFFF"/>
                <w:sz w:val="18"/>
              </w:rPr>
              <w:t>Entry</w:t>
            </w:r>
          </w:p>
        </w:tc>
      </w:tr>
      <w:tr>
        <w:trPr>
          <w:cantSplit w:val="true"/>
        </w:trPr>
        <w:tc>
          <w:tcPr>
            <w:tcW w:type="dxa" w:w="2736"/>
            <w:shd w:val="clear" w:color="auto" w:fill="DCE6F1"/>
          </w:tcPr>
          <w:p>
            <w:pPr>
              <w:spacing w:after="20" w:line="240" w:lineRule="auto"/>
            </w:pPr>
            <w:r>
              <w:rPr>
                <w:b/>
              </w:rPr>
            </w:r>
            <w:r>
              <w:rPr>
                <w:b/>
                <w:sz w:val="18"/>
              </w:rPr>
              <w:t>Record ID and product</w:t>
            </w:r>
          </w:p>
        </w:tc>
        <w:tc>
          <w:tcPr>
            <w:tcW w:type="dxa" w:w="6624"/>
          </w:tcPr>
          <w:p>
            <w:pPr>
              <w:spacing w:after="20" w:line="240" w:lineRule="auto"/>
            </w:pPr>
            <w:r/>
            <w:r>
              <w:rPr>
                <w:b w:val="0"/>
                <w:sz w:val="18"/>
              </w:rPr>
              <w:t>[Signal record ID]; Suturex circular stapler, misfire</w:t>
            </w:r>
          </w:p>
        </w:tc>
      </w:tr>
      <w:tr>
        <w:trPr>
          <w:cantSplit w:val="true"/>
        </w:trPr>
        <w:tc>
          <w:tcPr>
            <w:tcW w:type="dxa" w:w="2736"/>
            <w:shd w:val="clear" w:color="auto" w:fill="DCE6F1"/>
          </w:tcPr>
          <w:p>
            <w:pPr>
              <w:spacing w:after="20" w:line="240" w:lineRule="auto"/>
            </w:pPr>
            <w:r>
              <w:rPr>
                <w:b/>
              </w:rPr>
            </w:r>
            <w:r>
              <w:rPr>
                <w:b/>
                <w:sz w:val="18"/>
              </w:rPr>
              <w:t>Data cut and method</w:t>
            </w:r>
          </w:p>
        </w:tc>
        <w:tc>
          <w:tcPr>
            <w:tcW w:type="dxa" w:w="6624"/>
          </w:tcPr>
          <w:p>
            <w:pPr>
              <w:spacing w:after="20" w:line="240" w:lineRule="auto"/>
            </w:pPr>
            <w:r/>
            <w:r>
              <w:rPr>
                <w:b w:val="0"/>
                <w:sz w:val="18"/>
              </w:rPr>
              <w:t>Year 2, months 5–6; Shewhart p-chart per PMS plan [version]</w:t>
            </w:r>
          </w:p>
        </w:tc>
      </w:tr>
      <w:tr>
        <w:trPr>
          <w:cantSplit w:val="true"/>
        </w:trPr>
        <w:tc>
          <w:tcPr>
            <w:tcW w:type="dxa" w:w="2736"/>
            <w:shd w:val="clear" w:color="auto" w:fill="DCE6F1"/>
          </w:tcPr>
          <w:p>
            <w:pPr>
              <w:spacing w:after="20" w:line="240" w:lineRule="auto"/>
            </w:pPr>
            <w:r>
              <w:rPr>
                <w:b/>
              </w:rPr>
            </w:r>
            <w:r>
              <w:rPr>
                <w:b/>
                <w:sz w:val="18"/>
              </w:rPr>
              <w:t>Result</w:t>
            </w:r>
          </w:p>
        </w:tc>
        <w:tc>
          <w:tcPr>
            <w:tcW w:type="dxa" w:w="6624"/>
          </w:tcPr>
          <w:p>
            <w:pPr>
              <w:spacing w:after="20" w:line="240" w:lineRule="auto"/>
            </w:pPr>
            <w:r/>
            <w:r>
              <w:rPr>
                <w:b w:val="0"/>
                <w:sz w:val="18"/>
              </w:rPr>
              <w:t>29 and 30 against 20 expected; above 2σ (28.9), below 3σ (33.4)</w:t>
            </w:r>
          </w:p>
        </w:tc>
      </w:tr>
      <w:tr>
        <w:trPr>
          <w:cantSplit w:val="true"/>
        </w:trPr>
        <w:tc>
          <w:tcPr>
            <w:tcW w:type="dxa" w:w="2736"/>
            <w:shd w:val="clear" w:color="auto" w:fill="DCE6F1"/>
          </w:tcPr>
          <w:p>
            <w:pPr>
              <w:spacing w:after="20" w:line="240" w:lineRule="auto"/>
            </w:pPr>
            <w:r>
              <w:rPr>
                <w:b/>
              </w:rPr>
            </w:r>
            <w:r>
              <w:rPr>
                <w:b/>
                <w:sz w:val="18"/>
              </w:rPr>
              <w:t>Status and conclusion</w:t>
            </w:r>
          </w:p>
        </w:tc>
        <w:tc>
          <w:tcPr>
            <w:tcW w:type="dxa" w:w="6624"/>
          </w:tcPr>
          <w:p>
            <w:pPr>
              <w:spacing w:after="20" w:line="240" w:lineRule="auto"/>
            </w:pPr>
            <w:r/>
            <w:r>
              <w:rPr>
                <w:b w:val="0"/>
                <w:sz w:val="18"/>
              </w:rPr>
              <w:t>Alert not validated as a signal; trend-report criterion not met; record closed (administrative)</w:t>
            </w:r>
          </w:p>
        </w:tc>
      </w:tr>
      <w:tr>
        <w:trPr>
          <w:cantSplit w:val="true"/>
        </w:trPr>
        <w:tc>
          <w:tcPr>
            <w:tcW w:type="dxa" w:w="2736"/>
            <w:shd w:val="clear" w:color="auto" w:fill="DCE6F1"/>
          </w:tcPr>
          <w:p>
            <w:pPr>
              <w:spacing w:after="20" w:line="240" w:lineRule="auto"/>
            </w:pPr>
            <w:r>
              <w:rPr>
                <w:b/>
              </w:rPr>
            </w:r>
            <w:r>
              <w:rPr>
                <w:b/>
                <w:sz w:val="18"/>
              </w:rPr>
              <w:t>Rationale</w:t>
            </w:r>
          </w:p>
        </w:tc>
        <w:tc>
          <w:tcPr>
            <w:tcW w:type="dxa" w:w="6624"/>
          </w:tcPr>
          <w:p>
            <w:pPr>
              <w:spacing w:after="20" w:line="240" w:lineRule="auto"/>
            </w:pPr>
            <w:r/>
            <w:r>
              <w:rPr>
                <w:b w:val="0"/>
                <w:sz w:val="18"/>
              </w:rPr>
              <w:t>Plan criterion is 3σ only; no severity change identified [reviewer to confirm]; run-rule gap referred to PMS plan owner [reference]</w:t>
            </w:r>
          </w:p>
        </w:tc>
      </w:tr>
      <w:tr>
        <w:trPr>
          <w:cantSplit w:val="true"/>
        </w:trPr>
        <w:tc>
          <w:tcPr>
            <w:tcW w:type="dxa" w:w="2736"/>
            <w:shd w:val="clear" w:color="auto" w:fill="DCE6F1"/>
          </w:tcPr>
          <w:p>
            <w:pPr>
              <w:spacing w:after="20" w:line="240" w:lineRule="auto"/>
            </w:pPr>
            <w:r>
              <w:rPr>
                <w:b/>
              </w:rPr>
            </w:r>
            <w:r>
              <w:rPr>
                <w:b/>
                <w:sz w:val="18"/>
              </w:rPr>
              <w:t>Actions</w:t>
            </w:r>
          </w:p>
        </w:tc>
        <w:tc>
          <w:tcPr>
            <w:tcW w:type="dxa" w:w="6624"/>
          </w:tcPr>
          <w:p>
            <w:pPr>
              <w:spacing w:after="20" w:line="240" w:lineRule="auto"/>
            </w:pPr>
            <w:r/>
            <w:r>
              <w:rPr>
                <w:b w:val="0"/>
                <w:sz w:val="18"/>
              </w:rPr>
              <w:t>Monthly monitoring continues; PMS plan methodology review requested</w:t>
            </w:r>
          </w:p>
        </w:tc>
      </w:tr>
      <w:tr>
        <w:trPr>
          <w:cantSplit w:val="true"/>
        </w:trPr>
        <w:tc>
          <w:tcPr>
            <w:tcW w:type="dxa" w:w="2736"/>
            <w:shd w:val="clear" w:color="auto" w:fill="DCE6F1"/>
          </w:tcPr>
          <w:p>
            <w:pPr>
              <w:spacing w:after="20" w:line="240" w:lineRule="auto"/>
            </w:pPr>
            <w:r>
              <w:rPr>
                <w:b/>
              </w:rPr>
            </w:r>
            <w:r>
              <w:rPr>
                <w:b/>
                <w:sz w:val="18"/>
              </w:rPr>
              <w:t>Reopening triggers</w:t>
            </w:r>
          </w:p>
        </w:tc>
        <w:tc>
          <w:tcPr>
            <w:tcW w:type="dxa" w:w="6624"/>
          </w:tcPr>
          <w:p>
            <w:pPr>
              <w:spacing w:after="20" w:line="240" w:lineRule="auto"/>
            </w:pPr>
            <w:r/>
            <w:r>
              <w:rPr>
                <w:b w:val="0"/>
                <w:sz w:val="18"/>
              </w:rPr>
              <w:t>Any month above 33.4; any further month above 28.9 within three months; any misfire with harm not listed in the risk file; any change to a cartridge component supplier</w:t>
            </w:r>
          </w:p>
        </w:tc>
      </w:tr>
      <w:tr>
        <w:trPr>
          <w:cantSplit w:val="true"/>
        </w:trPr>
        <w:tc>
          <w:tcPr>
            <w:tcW w:type="dxa" w:w="2736"/>
            <w:shd w:val="clear" w:color="auto" w:fill="DCE6F1"/>
          </w:tcPr>
          <w:p>
            <w:pPr>
              <w:spacing w:after="20" w:line="240" w:lineRule="auto"/>
            </w:pPr>
            <w:r>
              <w:rPr>
                <w:b/>
              </w:rPr>
            </w:r>
            <w:r>
              <w:rPr>
                <w:b/>
                <w:sz w:val="18"/>
              </w:rPr>
              <w:t>Decided by / date</w:t>
            </w:r>
          </w:p>
        </w:tc>
        <w:tc>
          <w:tcPr>
            <w:tcW w:type="dxa" w:w="6624"/>
          </w:tcPr>
          <w:p>
            <w:pPr>
              <w:spacing w:after="20" w:line="240" w:lineRule="auto"/>
            </w:pPr>
            <w:r/>
            <w:r>
              <w:rPr>
                <w:b w:val="0"/>
                <w:sz w:val="18"/>
              </w:rPr>
              <w:t>[Name, role] / [date]</w:t>
            </w:r>
          </w:p>
        </w:tc>
      </w:tr>
    </w:tbl>
    <w:p>
      <w:pPr>
        <w:spacing w:after="160"/>
      </w:pPr>
      <w:r>
        <w:rPr>
          <w:i/>
          <w:color w:val="595959"/>
          <w:sz w:val="17"/>
        </w:rPr>
        <w:t>Table 23.3 — Tool T-21 closure memo, Suturex Year 2 episode, as it should have been written. The last two triggers are company-designed examples; either would have reopened this record when the anvil-spring supplier changed for lots from SX-2310, or when the first anastomotic leak was reported.</w:t>
      </w:r>
    </w:p>
    <w:tbl>
      <w:tblPr>
        <w:tblW w:type="dxa" w:w="9359"/>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2447"/>
        <w:gridCol w:w="2015"/>
        <w:gridCol w:w="4895"/>
      </w:tblGrid>
      <w:tr>
        <w:trPr>
          <w:tblHeader w:val="true"/>
          <w:cantSplit w:val="true"/>
        </w:trPr>
        <w:tc>
          <w:tcPr>
            <w:tcW w:type="dxa" w:w="2448"/>
            <w:shd w:val="clear" w:color="auto" w:fill="17375E"/>
            <w:vAlign w:val="center"/>
          </w:tcPr>
          <w:p>
            <w:pPr>
              <w:spacing w:after="20" w:line="240" w:lineRule="auto"/>
            </w:pPr>
            <w:r>
              <w:rPr>
                <w:b/>
              </w:rPr>
            </w:r>
            <w:r>
              <w:rPr>
                <w:b/>
                <w:color w:val="FFFFFF"/>
                <w:sz w:val="18"/>
              </w:rPr>
              <w:t>Field</w:t>
            </w:r>
          </w:p>
        </w:tc>
        <w:tc>
          <w:tcPr>
            <w:tcW w:type="dxa" w:w="2016"/>
            <w:shd w:val="clear" w:color="auto" w:fill="17375E"/>
            <w:vAlign w:val="center"/>
          </w:tcPr>
          <w:p>
            <w:pPr>
              <w:spacing w:after="20" w:line="240" w:lineRule="auto"/>
            </w:pPr>
            <w:r>
              <w:rPr>
                <w:b/>
              </w:rPr>
            </w:r>
            <w:r>
              <w:rPr>
                <w:b/>
                <w:color w:val="FFFFFF"/>
                <w:sz w:val="18"/>
              </w:rPr>
              <w:t>Record as found</w:t>
            </w:r>
          </w:p>
        </w:tc>
        <w:tc>
          <w:tcPr>
            <w:tcW w:type="dxa" w:w="4896"/>
            <w:shd w:val="clear" w:color="auto" w:fill="17375E"/>
            <w:vAlign w:val="center"/>
          </w:tcPr>
          <w:p>
            <w:pPr>
              <w:spacing w:after="20" w:line="240" w:lineRule="auto"/>
            </w:pPr>
            <w:r>
              <w:rPr>
                <w:b/>
              </w:rPr>
            </w:r>
            <w:r>
              <w:rPr>
                <w:b/>
                <w:color w:val="FFFFFF"/>
                <w:sz w:val="18"/>
              </w:rPr>
              <w:t>Record as it should have been</w:t>
            </w:r>
          </w:p>
        </w:tc>
      </w:tr>
      <w:tr>
        <w:trPr>
          <w:cantSplit w:val="true"/>
        </w:trPr>
        <w:tc>
          <w:tcPr>
            <w:tcW w:type="dxa" w:w="2448"/>
            <w:shd w:val="clear" w:color="auto" w:fill="DCE6F1"/>
          </w:tcPr>
          <w:p>
            <w:pPr>
              <w:spacing w:after="20" w:line="240" w:lineRule="auto"/>
            </w:pPr>
            <w:r>
              <w:rPr>
                <w:b/>
              </w:rPr>
            </w:r>
            <w:r>
              <w:rPr>
                <w:b/>
                <w:sz w:val="18"/>
              </w:rPr>
              <w:t>Data cut and source</w:t>
            </w:r>
          </w:p>
        </w:tc>
        <w:tc>
          <w:tcPr>
            <w:tcW w:type="dxa" w:w="2016"/>
          </w:tcPr>
          <w:p>
            <w:pPr>
              <w:spacing w:after="20" w:line="240" w:lineRule="auto"/>
            </w:pPr>
            <w:r/>
            <w:r>
              <w:rPr>
                <w:b w:val="0"/>
                <w:sz w:val="18"/>
              </w:rPr>
              <w:t>"Y2 M5–6"</w:t>
            </w:r>
          </w:p>
        </w:tc>
        <w:tc>
          <w:tcPr>
            <w:tcW w:type="dxa" w:w="4896"/>
          </w:tcPr>
          <w:p>
            <w:pPr>
              <w:spacing w:after="20" w:line="240" w:lineRule="auto"/>
            </w:pPr>
            <w:r/>
            <w:r>
              <w:rPr>
                <w:b w:val="0"/>
                <w:sz w:val="18"/>
              </w:rPr>
              <w:t>Complaint database, misfire code, extracted at the end of Y2 M6</w:t>
            </w:r>
          </w:p>
        </w:tc>
      </w:tr>
      <w:tr>
        <w:trPr>
          <w:cantSplit w:val="true"/>
        </w:trPr>
        <w:tc>
          <w:tcPr>
            <w:tcW w:type="dxa" w:w="2448"/>
            <w:shd w:val="clear" w:color="auto" w:fill="DCE6F1"/>
          </w:tcPr>
          <w:p>
            <w:pPr>
              <w:spacing w:after="20" w:line="240" w:lineRule="auto"/>
            </w:pPr>
            <w:r>
              <w:rPr>
                <w:b/>
              </w:rPr>
            </w:r>
            <w:r>
              <w:rPr>
                <w:b/>
                <w:sz w:val="18"/>
              </w:rPr>
              <w:t>Denominator and expected count</w:t>
            </w:r>
          </w:p>
        </w:tc>
        <w:tc>
          <w:tcPr>
            <w:tcW w:type="dxa" w:w="2016"/>
          </w:tcPr>
          <w:p>
            <w:pPr>
              <w:spacing w:after="20" w:line="240" w:lineRule="auto"/>
            </w:pPr>
            <w:r/>
            <w:r>
              <w:rPr>
                <w:b w:val="0"/>
                <w:sz w:val="18"/>
              </w:rPr>
              <w:t>Not recorded</w:t>
            </w:r>
          </w:p>
        </w:tc>
        <w:tc>
          <w:tcPr>
            <w:tcW w:type="dxa" w:w="4896"/>
          </w:tcPr>
          <w:p>
            <w:pPr>
              <w:spacing w:after="20" w:line="240" w:lineRule="auto"/>
            </w:pPr>
            <w:r/>
            <w:r>
              <w:rPr>
                <w:b w:val="0"/>
                <w:sz w:val="18"/>
              </w:rPr>
              <w:t>50,000 units per month; baseline 0.40 per 1,000; 20 expected</w:t>
            </w:r>
          </w:p>
        </w:tc>
      </w:tr>
      <w:tr>
        <w:trPr>
          <w:cantSplit w:val="true"/>
        </w:trPr>
        <w:tc>
          <w:tcPr>
            <w:tcW w:type="dxa" w:w="2448"/>
            <w:shd w:val="clear" w:color="auto" w:fill="DCE6F1"/>
          </w:tcPr>
          <w:p>
            <w:pPr>
              <w:spacing w:after="20" w:line="240" w:lineRule="auto"/>
            </w:pPr>
            <w:r>
              <w:rPr>
                <w:b/>
              </w:rPr>
            </w:r>
            <w:r>
              <w:rPr>
                <w:b/>
                <w:sz w:val="18"/>
              </w:rPr>
              <w:t>Method and threshold</w:t>
            </w:r>
          </w:p>
        </w:tc>
        <w:tc>
          <w:tcPr>
            <w:tcW w:type="dxa" w:w="2016"/>
          </w:tcPr>
          <w:p>
            <w:pPr>
              <w:spacing w:after="20" w:line="240" w:lineRule="auto"/>
            </w:pPr>
            <w:r/>
            <w:r>
              <w:rPr>
                <w:b w:val="0"/>
                <w:sz w:val="18"/>
              </w:rPr>
              <w:t>Not recorded</w:t>
            </w:r>
          </w:p>
        </w:tc>
        <w:tc>
          <w:tcPr>
            <w:tcW w:type="dxa" w:w="4896"/>
          </w:tcPr>
          <w:p>
            <w:pPr>
              <w:spacing w:after="20" w:line="240" w:lineRule="auto"/>
            </w:pPr>
            <w:r/>
            <w:r>
              <w:rPr>
                <w:b w:val="0"/>
                <w:sz w:val="18"/>
              </w:rPr>
              <w:t>Shewhart p-chart; 3σ limit 33.4 (PMS plan version in force); 2σ limit 28.9 noted</w:t>
            </w:r>
          </w:p>
        </w:tc>
      </w:tr>
      <w:tr>
        <w:trPr>
          <w:cantSplit w:val="true"/>
        </w:trPr>
        <w:tc>
          <w:tcPr>
            <w:tcW w:type="dxa" w:w="2448"/>
            <w:shd w:val="clear" w:color="auto" w:fill="DCE6F1"/>
          </w:tcPr>
          <w:p>
            <w:pPr>
              <w:spacing w:after="20" w:line="240" w:lineRule="auto"/>
            </w:pPr>
            <w:r>
              <w:rPr>
                <w:b/>
              </w:rPr>
            </w:r>
            <w:r>
              <w:rPr>
                <w:b/>
                <w:sz w:val="18"/>
              </w:rPr>
              <w:t>Result</w:t>
            </w:r>
          </w:p>
        </w:tc>
        <w:tc>
          <w:tcPr>
            <w:tcW w:type="dxa" w:w="2016"/>
          </w:tcPr>
          <w:p>
            <w:pPr>
              <w:spacing w:after="20" w:line="240" w:lineRule="auto"/>
            </w:pPr>
            <w:r/>
            <w:r>
              <w:rPr>
                <w:b w:val="0"/>
                <w:sz w:val="18"/>
              </w:rPr>
              <w:t>"Within limits"</w:t>
            </w:r>
          </w:p>
        </w:tc>
        <w:tc>
          <w:tcPr>
            <w:tcW w:type="dxa" w:w="4896"/>
          </w:tcPr>
          <w:p>
            <w:pPr>
              <w:spacing w:after="20" w:line="240" w:lineRule="auto"/>
            </w:pPr>
            <w:r/>
            <w:r>
              <w:rPr>
                <w:b w:val="0"/>
                <w:sz w:val="18"/>
              </w:rPr>
              <w:t>Both months above 2σ, below 3σ; plan criterion not met</w:t>
            </w:r>
          </w:p>
        </w:tc>
      </w:tr>
      <w:tr>
        <w:trPr>
          <w:cantSplit w:val="true"/>
        </w:trPr>
        <w:tc>
          <w:tcPr>
            <w:tcW w:type="dxa" w:w="2448"/>
            <w:shd w:val="clear" w:color="auto" w:fill="DCE6F1"/>
          </w:tcPr>
          <w:p>
            <w:pPr>
              <w:spacing w:after="20" w:line="240" w:lineRule="auto"/>
            </w:pPr>
            <w:r>
              <w:rPr>
                <w:b/>
              </w:rPr>
            </w:r>
            <w:r>
              <w:rPr>
                <w:b/>
                <w:sz w:val="18"/>
              </w:rPr>
              <w:t>Severity review</w:t>
            </w:r>
          </w:p>
        </w:tc>
        <w:tc>
          <w:tcPr>
            <w:tcW w:type="dxa" w:w="2016"/>
          </w:tcPr>
          <w:p>
            <w:pPr>
              <w:spacing w:after="20" w:line="240" w:lineRule="auto"/>
            </w:pPr>
            <w:r/>
            <w:r>
              <w:rPr>
                <w:b w:val="0"/>
                <w:sz w:val="18"/>
              </w:rPr>
              <w:t>Not recorded</w:t>
            </w:r>
          </w:p>
        </w:tc>
        <w:tc>
          <w:tcPr>
            <w:tcW w:type="dxa" w:w="4896"/>
          </w:tcPr>
          <w:p>
            <w:pPr>
              <w:spacing w:after="20" w:line="240" w:lineRule="auto"/>
            </w:pPr>
            <w:r/>
            <w:r>
              <w:rPr>
                <w:b w:val="0"/>
                <w:sz w:val="18"/>
              </w:rPr>
              <w:t>Statement of whether any event involved harm beyond "prolonged procedure"</w:t>
            </w:r>
          </w:p>
        </w:tc>
      </w:tr>
      <w:tr>
        <w:trPr>
          <w:cantSplit w:val="true"/>
        </w:trPr>
        <w:tc>
          <w:tcPr>
            <w:tcW w:type="dxa" w:w="2448"/>
            <w:shd w:val="clear" w:color="auto" w:fill="DCE6F1"/>
          </w:tcPr>
          <w:p>
            <w:pPr>
              <w:spacing w:after="20" w:line="240" w:lineRule="auto"/>
            </w:pPr>
            <w:r>
              <w:rPr>
                <w:b/>
              </w:rPr>
            </w:r>
            <w:r>
              <w:rPr>
                <w:b/>
                <w:sz w:val="18"/>
              </w:rPr>
              <w:t>Decision and rationale</w:t>
            </w:r>
          </w:p>
        </w:tc>
        <w:tc>
          <w:tcPr>
            <w:tcW w:type="dxa" w:w="2016"/>
          </w:tcPr>
          <w:p>
            <w:pPr>
              <w:spacing w:after="20" w:line="240" w:lineRule="auto"/>
            </w:pPr>
            <w:r/>
            <w:r>
              <w:rPr>
                <w:b w:val="0"/>
                <w:sz w:val="18"/>
              </w:rPr>
              <w:t>"Closed"</w:t>
            </w:r>
          </w:p>
        </w:tc>
        <w:tc>
          <w:tcPr>
            <w:tcW w:type="dxa" w:w="4896"/>
          </w:tcPr>
          <w:p>
            <w:pPr>
              <w:spacing w:after="20" w:line="240" w:lineRule="auto"/>
            </w:pPr>
            <w:r/>
            <w:r>
              <w:rPr>
                <w:b w:val="0"/>
                <w:sz w:val="18"/>
              </w:rPr>
              <w:t>No trend report; criterion not met; monitoring continued; run-rule gap referred to PMS plan owner</w:t>
            </w:r>
          </w:p>
        </w:tc>
      </w:tr>
      <w:tr>
        <w:trPr>
          <w:cantSplit w:val="true"/>
        </w:trPr>
        <w:tc>
          <w:tcPr>
            <w:tcW w:type="dxa" w:w="2448"/>
            <w:shd w:val="clear" w:color="auto" w:fill="DCE6F1"/>
          </w:tcPr>
          <w:p>
            <w:pPr>
              <w:spacing w:after="20" w:line="240" w:lineRule="auto"/>
            </w:pPr>
            <w:r>
              <w:rPr>
                <w:b/>
              </w:rPr>
            </w:r>
            <w:r>
              <w:rPr>
                <w:b/>
                <w:sz w:val="18"/>
              </w:rPr>
              <w:t>Decision-maker and date</w:t>
            </w:r>
          </w:p>
        </w:tc>
        <w:tc>
          <w:tcPr>
            <w:tcW w:type="dxa" w:w="2016"/>
          </w:tcPr>
          <w:p>
            <w:pPr>
              <w:spacing w:after="20" w:line="240" w:lineRule="auto"/>
            </w:pPr>
            <w:r/>
            <w:r>
              <w:rPr>
                <w:b w:val="0"/>
                <w:sz w:val="18"/>
              </w:rPr>
              <w:t>Not recorded</w:t>
            </w:r>
          </w:p>
        </w:tc>
        <w:tc>
          <w:tcPr>
            <w:tcW w:type="dxa" w:w="4896"/>
          </w:tcPr>
          <w:p>
            <w:pPr>
              <w:spacing w:after="20" w:line="240" w:lineRule="auto"/>
            </w:pPr>
            <w:r/>
            <w:r>
              <w:rPr>
                <w:b w:val="0"/>
                <w:sz w:val="18"/>
              </w:rPr>
              <w:t>Named role; date</w:t>
            </w:r>
          </w:p>
        </w:tc>
      </w:tr>
      <w:tr>
        <w:trPr>
          <w:cantSplit w:val="true"/>
        </w:trPr>
        <w:tc>
          <w:tcPr>
            <w:tcW w:type="dxa" w:w="2448"/>
            <w:shd w:val="clear" w:color="auto" w:fill="DCE6F1"/>
          </w:tcPr>
          <w:p>
            <w:pPr>
              <w:spacing w:after="20" w:line="240" w:lineRule="auto"/>
            </w:pPr>
            <w:r>
              <w:rPr>
                <w:b/>
              </w:rPr>
            </w:r>
            <w:r>
              <w:rPr>
                <w:b/>
                <w:sz w:val="18"/>
              </w:rPr>
              <w:t>Reopening trigger</w:t>
            </w:r>
          </w:p>
        </w:tc>
        <w:tc>
          <w:tcPr>
            <w:tcW w:type="dxa" w:w="2016"/>
          </w:tcPr>
          <w:p>
            <w:pPr>
              <w:spacing w:after="20" w:line="240" w:lineRule="auto"/>
            </w:pPr>
            <w:r/>
            <w:r>
              <w:rPr>
                <w:b w:val="0"/>
                <w:sz w:val="18"/>
              </w:rPr>
              <w:t>None</w:t>
            </w:r>
          </w:p>
        </w:tc>
        <w:tc>
          <w:tcPr>
            <w:tcW w:type="dxa" w:w="4896"/>
          </w:tcPr>
          <w:p>
            <w:pPr>
              <w:spacing w:after="20" w:line="240" w:lineRule="auto"/>
            </w:pPr>
            <w:r/>
            <w:r>
              <w:rPr>
                <w:b w:val="0"/>
                <w:sz w:val="18"/>
              </w:rPr>
              <w:t>Any month above 3σ; any further month above 2σ within three months</w:t>
            </w:r>
          </w:p>
        </w:tc>
      </w:tr>
    </w:tbl>
    <w:p>
      <w:pPr>
        <w:spacing w:after="160"/>
      </w:pPr>
      <w:r>
        <w:rPr>
          <w:i/>
          <w:color w:val="595959"/>
          <w:sz w:val="17"/>
        </w:rPr>
        <w:t>Table 23.2 — The Suturex Year 2 tracker entry: as found and as needed (detection and decision fields of the signal record).</w:t>
      </w:r>
    </w:p>
    <w:p>
      <w:r>
        <w:rPr>
          <w:b w:val="0"/>
          <w:i/>
          <w:color w:val="595959"/>
          <w:sz w:val="18"/>
        </w:rPr>
        <w:t>When an auditor asks 18 months later: present the arithmetic as a dated, signed retrospective reconstruction; state that no contemporaneous rationale exists; open a CAPA on trend-decision documentation making these fields mandatory. The reconstruction is added as a new, dated entry; the original entry stays as it was.</w:t>
      </w:r>
    </w:p>
    <w:sectPr w:rsidR="00FC693F" w:rsidRPr="0006063C" w:rsidSect="00034616">
      <w:headerReference w:type="default" r:id="rId9"/>
      <w:footerReference w:type="default" r:id="rId10"/>
      <w:pgSz w:w="12240" w:h="15840"/>
      <w:pgMar w:top="1440" w:right="1440" w:bottom="1440" w:left="1440"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A6A6A6"/>
      </w:pBdr>
    </w:pPr>
    <w:r/>
    <w:r>
      <w:rPr>
        <w:i/>
        <w:color w:val="595959"/>
        <w:sz w:val="16"/>
      </w:rPr>
      <w:t>Educational template — adapt to your quality system. Not a regulatory requirement.</w:t>
    </w:r>
  </w:p>
  <w:p>
    <w:r>
      <w:rPr>
        <w:color w:val="595959"/>
        <w:sz w:val="16"/>
      </w:rPr>
      <w:t xml:space="preserve">© 2026 Selim Medical Press · Tool T-21 · Page </w:t>
    </w:r>
    <w:r>
      <w:rPr>
        <w:color w:val="595959"/>
        <w:sz w:val="16"/>
      </w:rPr>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t>1</w:t>
    </w:r>
    <w:r>
      <w:rPr>
        <w:color w:val="595959"/>
        <w:sz w:val="16"/>
      </w:rPr>
      <w:fldChar w:fldCharType="end"/>
    </w:r>
    <w:r>
      <w:rPr>
        <w:color w:val="595959"/>
        <w:sz w:val="16"/>
      </w:rPr>
      <w:t xml:space="preserve"> of </w:t>
    </w:r>
    <w:r>
      <w:rPr>
        <w:color w:val="595959"/>
        <w:sz w:val="16"/>
      </w:rPr>
    </w:r>
    <w:r>
      <w:rPr>
        <w:color w:val="595959"/>
        <w:sz w:val="16"/>
      </w:rPr>
      <w:fldChar w:fldCharType="begin"/>
    </w:r>
    <w:r>
      <w:rPr>
        <w:color w:val="595959"/>
        <w:sz w:val="16"/>
      </w:rPr>
      <w:instrText xml:space="preserve"> NUMPAGES </w:instrText>
    </w:r>
    <w:r>
      <w:rPr>
        <w:color w:val="595959"/>
        <w:sz w:val="16"/>
      </w:rPr>
      <w:fldChar w:fldCharType="separate"/>
    </w:r>
    <w:r>
      <w:rPr>
        <w:color w:val="595959"/>
        <w:sz w:val="16"/>
      </w:rPr>
      <w:t>1</w:t>
    </w:r>
    <w:r>
      <w:rPr>
        <w:color w:val="595959"/>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A6A6A6"/>
      </w:pBdr>
    </w:pPr>
    <w:r/>
    <w:r>
      <w:rPr>
        <w:rFonts w:ascii="Calibri" w:hAnsi="Calibri"/>
        <w:color w:val="595959"/>
        <w:sz w:val="17"/>
      </w:rPr>
      <w:t>Selim Medical Press · Signal Management in Medical Device Vigilance · Tool T-21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cs="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Cambria" w:hAnsi="Cambria" w:cs="Cambria" w:eastAsia="Cambria"/>
      <w:b/>
      <w:bCs/>
      <w:color w:val="17375E"/>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Cambria" w:hAnsi="Cambria" w:cs="Cambria" w:eastAsia="Cambria"/>
      <w:b/>
      <w:bCs/>
      <w:color w:val="17375E"/>
      <w:sz w:val="24"/>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Cambria" w:hAnsi="Cambria" w:cs="Cambria" w:eastAsia="Cambria"/>
      <w:b/>
      <w:bCs/>
      <w:color w:val="17375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40" w:line="240" w:lineRule="auto"/>
      <w:contextualSpacing/>
    </w:pPr>
    <w:rPr>
      <w:rFonts w:ascii="Cambria" w:hAnsi="Cambria" w:cs="Cambria" w:eastAsia="Cambria"/>
      <w:b/>
      <w:color w:val="17375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s="Calibri" w:eastAsia="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s="Calibri" w:eastAsia="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Tool T-21 — Signal Record, Closure Memo and Reopening Review Templates</dc:title>
  <dc:subject>Signal Management in Medical Device Vigilance — companion toolkit</dc:subject>
  <dc:creator>Dr. Hafez Selim, MD, PhD</dc:creator>
  <cp:keywords>device vigilance; signal management; toolkit</cp:keywords>
  <dc:description>Selim Medical Press © 2026. Educational template.</dc:description>
  <cp:lastModifiedBy/>
  <cp:revision>1</cp:revision>
  <dcterms:created xsi:type="dcterms:W3CDTF">2013-12-23T23:15:00Z</dcterms:created>
  <dcterms:modified xsi:type="dcterms:W3CDTF">2013-12-23T23:15:00Z</dcterms:modified>
  <cp:category/>
</cp:coreProperties>
</file>