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T-22</w:t>
      </w:r>
    </w:p>
    <w:p>
      <w:pPr>
        <w:pStyle w:val="Title"/>
      </w:pPr>
      <w:r>
        <w:t>Cross-Document Reconciliation Checklist</w:t>
      </w:r>
    </w:p>
    <w:p>
      <w:r>
        <w:rPr>
          <w:i/>
          <w:color w:val="595959"/>
          <w:sz w:val="21"/>
        </w:rPr>
        <w:t>One controlled conclusion, asked of every document that can describe the device's safety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Lists every document that can describe a device's safety, asks the same questions of each against one controlled conclusion statement, and records the version checked, the result, the owner and the due date.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Before PMS deliverables (PSUR, CER, SSCP, IFU, risk management file, PMCF plan, US reports) leave the building — not after a reviewer returns them — and whenever a signal conclusion changes.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24, Keeping PMS Deliverables Consistent — section 24.5 (Tables 24.1–24.3).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record ID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Conclusion statement version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Checklist date / owner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1 — Controlled conclusion statement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736"/>
        <w:gridCol w:w="6623"/>
      </w:tblGrid>
      <w:tr>
        <w:trPr>
          <w:cantSplit w:val="true"/>
          <w:trHeight w:val="547" w:hRule="atLeast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47" w:hRule="atLeast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47" w:hRule="atLeast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Failure modes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47" w:hRule="atLeast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Key estimate (with interval and data cut)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47" w:hRule="atLeast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Pattern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47" w:hRule="atLeast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Actions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547" w:hRule="atLeast"/>
        </w:trPr>
        <w:tc>
          <w:tcPr>
            <w:tcW w:type="dxa" w:w="273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Version and approval date</w:t>
            </w:r>
          </w:p>
        </w:tc>
        <w:tc>
          <w:tcPr>
            <w:tcW w:type="dxa" w:w="6624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2 — Reconciliation map</w:t>
      </w:r>
    </w:p>
    <w:tbl>
      <w:tblPr>
        <w:tblW w:type="dxa" w:w="9359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04"/>
        <w:gridCol w:w="3023"/>
        <w:gridCol w:w="1727"/>
      </w:tblGrid>
      <w:tr>
        <w:trPr>
          <w:tblHeader w:val="true"/>
          <w:cantSplit w:val="true"/>
        </w:trPr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Document (version)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Current wording</w:t>
            </w:r>
          </w:p>
        </w:tc>
        <w:tc>
          <w:tcPr>
            <w:tcW w:type="dxa" w:w="302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Required change</w:t>
            </w:r>
          </w:p>
        </w:tc>
        <w:tc>
          <w:tcPr>
            <w:tcW w:type="dxa" w:w="172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PSUR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CER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SSCP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IFU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Risk management file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PMCF plan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US MDR coding / Part 806 assessment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3024"/>
          </w:tcPr>
          <w:p>
            <w:pPr>
              <w:spacing w:after="20" w:line="240" w:lineRule="auto"/>
            </w:pPr>
            <w:r/>
          </w:p>
        </w:tc>
        <w:tc>
          <w:tcPr>
            <w:tcW w:type="dxa" w:w="1728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3 — Checklist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456"/>
        <w:gridCol w:w="1296"/>
        <w:gridCol w:w="1872"/>
        <w:gridCol w:w="1440"/>
        <w:gridCol w:w="1296"/>
      </w:tblGrid>
      <w:tr>
        <w:trPr>
          <w:tblHeader w:val="true"/>
          <w:cantSplit w:val="true"/>
        </w:trPr>
        <w:tc>
          <w:tcPr>
            <w:tcW w:type="dxa" w:w="345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Version checked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1440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Status / due date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Controlled conclusion statement exists and is versioned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PSUR status term matches the statement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CER includes the conclusion and the key comparison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PMCF plan covers the failure modes and any design change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SSCP status matches the statement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IFU warnings and follow-up match the advisory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Risk management file carries all modes and the revised estimate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Related CAPAs cite the single signal record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US MDR coding and Part 806 assessment match the modes and the advisory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One estimate used everywhere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</w:p>
        </w:tc>
        <w:tc>
          <w:tcPr>
            <w:tcW w:type="dxa" w:w="1440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An "Open" line on this checklist is a finding the company made itself. The same line in a notified body report is a finding someone else made.</w:t>
      </w:r>
    </w:p>
    <w:p>
      <w:pPr>
        <w:pStyle w:val="Heading3"/>
      </w:pPr>
      <w:r>
        <w:t>Review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2592"/>
        <w:gridCol w:w="2304"/>
        <w:gridCol w:w="129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Vigilance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Regulatory affairs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Clinical evaluation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Kestran defibrillator lead, end of Year 6 (PSUR said "identified risk"; CER absent; SSCP "under investigation"; IFU absent).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7056"/>
      </w:tblGrid>
      <w:tr>
        <w:trPr>
          <w:tblHeader w:val="true"/>
          <w:cantSplit w:val="true"/>
        </w:trPr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705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70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Kestran lead fracture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70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Confirmed: identified risk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Failure modes</w:t>
            </w:r>
          </w:p>
        </w:tc>
        <w:tc>
          <w:tcPr>
            <w:tcW w:type="dxa" w:w="70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Early fracture just distal to the header (7); wear-out fracture of the conductor at the subclavian crossing (41)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Key estimate</w:t>
            </w:r>
          </w:p>
        </w:tc>
        <w:tc>
          <w:tcPr>
            <w:tcW w:type="dxa" w:w="70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5-year Kaplan–Meier fracture-free survival 97.7% (95% CI 97.1–98.4); predecessor lead 99.2%; data cut end of Year 6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Pattern</w:t>
            </w:r>
          </w:p>
        </w:tc>
        <w:tc>
          <w:tcPr>
            <w:tcW w:type="dxa" w:w="70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Annual hazard rises from 0.08% in year 1 to 1.38% in year 5 (wear-out)</w:t>
            </w:r>
          </w:p>
        </w:tc>
      </w:tr>
      <w:tr>
        <w:trPr>
          <w:cantSplit w:val="true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Actions</w:t>
            </w:r>
          </w:p>
        </w:tc>
        <w:tc>
          <w:tcPr>
            <w:tcW w:type="dxa" w:w="705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Physician advisory (no prophylactic extraction; remote monitoring with impedance alerts on; follow-up every 3 months); header strain-relief design change; single signal record linking related CAPAs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24.1 — Kestran controlled conclusion statement.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296"/>
        <w:gridCol w:w="2016"/>
        <w:gridCol w:w="4176"/>
        <w:gridCol w:w="1872"/>
      </w:tblGrid>
      <w:tr>
        <w:trPr>
          <w:tblHeader w:val="true"/>
          <w:cantSplit w:val="true"/>
        </w:trPr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0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Current wording</w:t>
            </w:r>
          </w:p>
        </w:tc>
        <w:tc>
          <w:tcPr>
            <w:tcW w:type="dxa" w:w="417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Required change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PSUR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"Identified risk"</w:t>
            </w:r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Keep; add both modes, the estimate, the data cut and the action status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Vigilance lead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CER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Absent</w:t>
            </w:r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Add the conclusion, the survival comparison and the benefit–risk review; update the PMCF plan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Clinical evaluation lead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SSCP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"Under investigation"</w:t>
            </w:r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Change to identified risk, in plain language, with the monitoring advice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Regulatory affairs lead</w:t>
            </w:r>
          </w:p>
        </w:tc>
      </w:tr>
      <w:tr>
        <w:trPr>
          <w:cantSplit w:val="true"/>
        </w:trPr>
        <w:tc>
          <w:tcPr>
            <w:tcW w:type="dxa" w:w="12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IFU</w:t>
            </w:r>
          </w:p>
        </w:tc>
        <w:tc>
          <w:tcPr>
            <w:tcW w:type="dxa" w:w="201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Absent</w:t>
            </w:r>
          </w:p>
        </w:tc>
        <w:tc>
          <w:tcPr>
            <w:tcW w:type="dxa" w:w="417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Add a fracture warning and the follow-up advice through labeling change control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Regulatory affairs and labeling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24.2 — Kestran reconciliation map: four documents against one conclusion.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456"/>
        <w:gridCol w:w="2736"/>
        <w:gridCol w:w="1872"/>
        <w:gridCol w:w="1296"/>
      </w:tblGrid>
      <w:tr>
        <w:trPr>
          <w:tblHeader w:val="true"/>
          <w:cantSplit w:val="true"/>
        </w:trPr>
        <w:tc>
          <w:tcPr>
            <w:tcW w:type="dxa" w:w="345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73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Kestran result (end of Year 6)</w:t>
            </w:r>
          </w:p>
        </w:tc>
        <w:tc>
          <w:tcPr>
            <w:tcW w:type="dxa" w:w="187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Controlled conclusion statement exists and is versioned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Yes (Table 24.1)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Vigilance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Done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PSUR status term matches the statement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Yes, "identified risk"; modes and estimate to be added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Vigilance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In progress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CER includes the conclusion and survival comparison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No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Clinical evaluation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PMCF plan covers header fractures and the design change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Not yet reviewed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Clinical evaluation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SSCP status matches the statement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No, "under investigation"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Regulatory affairs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IFU warnings and follow-up match the advisory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No, absent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Regulatory affairs and labeling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Risk management file carries both modes and the revised estimate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To be confirmed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Risk management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Related CAPAs cite the single signal record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To be confirmed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Quality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US MDR coding and Part 806 assessment match the two modes and the advisory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To be confirmed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Regulatory affairs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345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7"/>
              </w:rPr>
              <w:t>One estimate used everywhere (Kaplan–Meier 2.3% at 5 years)</w:t>
            </w:r>
          </w:p>
        </w:tc>
        <w:tc>
          <w:tcPr>
            <w:tcW w:type="dxa" w:w="273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To be checked in each document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Vigilance lead</w:t>
            </w:r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  <w:r>
              <w:rPr>
                <w:b w:val="0"/>
                <w:sz w:val="17"/>
              </w:rPr>
              <w:t>Open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24.3 — Tool T-22 extract, completed for Kestran.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T-22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T-22 — Cross-Document Reconciliation Checklist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