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7375E"/>
          <w:sz w:val="18"/>
        </w:rPr>
        <w:t>COMPANION TOOLKIT · TOOL T-23</w:t>
      </w:r>
    </w:p>
    <w:p>
      <w:pPr>
        <w:pStyle w:val="Title"/>
      </w:pPr>
      <w:r>
        <w:t>Audit and Inspection Readiness Checklist</w:t>
      </w:r>
    </w:p>
    <w:p>
      <w:r>
        <w:rPr>
          <w:i/>
          <w:color w:val="595959"/>
          <w:sz w:val="21"/>
        </w:rPr>
        <w:t>Self-tests that trace one complaint through everything it touched — run before an outsider does</w:t>
      </w:r>
    </w:p>
    <w:p>
      <w:pPr>
        <w:pBdr>
          <w:bottom w:val="single" w:sz="6" w:space="1" w:color="17375E"/>
        </w:pBdr>
        <w:spacing w:after="160"/>
      </w:pPr>
      <w:r>
        <w:rPr>
          <w:color w:val="595959"/>
          <w:sz w:val="17"/>
        </w:rPr>
        <w:t>Signal Management in Medical Device Vigilance · Dr. Hafez Selim, MD, PhD · Selim Medical Press · © 2026</w:t>
      </w:r>
    </w:p>
    <w:tbl>
      <w:tblPr>
        <w:tblW w:type="dxa" w:w="936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160"/>
        <w:gridCol w:w="7200"/>
      </w:tblGrid>
      <w:tr>
        <w:tc>
          <w:tcPr>
            <w:tcW w:type="dxa" w:w="2160"/>
            <w:shd w:val="clear" w:color="auto" w:fill="DCE6F1"/>
          </w:tcPr>
          <w:p>
            <w:r/>
            <w:r>
              <w:rPr>
                <w:b/>
                <w:color w:val="17375E"/>
              </w:rPr>
              <w:t>Purpose</w:t>
            </w:r>
          </w:p>
        </w:tc>
        <w:tc>
          <w:tcPr>
            <w:tcW w:type="dxa" w:w="7200"/>
          </w:tcPr>
          <w:p>
            <w:pPr>
              <w:spacing w:after="20" w:line="240" w:lineRule="auto"/>
            </w:pPr>
            <w:r/>
            <w:r>
              <w:rPr>
                <w:b w:val="0"/>
              </w:rPr>
              <w:t>Turns the inspection evidence map into tests a team can run on itself. Each line names a requirement, the record that proves it, and the result of the last self-check. Includes a mock-audit exercise and a CAPA structure for failures of the signal process itself.</w:t>
            </w:r>
          </w:p>
        </w:tc>
      </w:tr>
      <w:tr>
        <w:tc>
          <w:tcPr>
            <w:tcW w:type="dxa" w:w="2160"/>
            <w:shd w:val="clear" w:color="auto" w:fill="DCE6F1"/>
          </w:tcPr>
          <w:p>
            <w:r/>
            <w:r>
              <w:rPr>
                <w:b/>
                <w:color w:val="17375E"/>
              </w:rPr>
              <w:t>When to use</w:t>
            </w:r>
          </w:p>
        </w:tc>
        <w:tc>
          <w:tcPr>
            <w:tcW w:type="dxa" w:w="7200"/>
          </w:tcPr>
          <w:p>
            <w:pPr>
              <w:spacing w:after="20" w:line="240" w:lineRule="auto"/>
            </w:pPr>
            <w:r/>
            <w:r>
              <w:rPr>
                <w:b w:val="0"/>
              </w:rPr>
              <w:t>Quarterly or on the internal audit schedule; after any process change; after an inspection finding (with a look-back). Readiness is a standing condition, not a week of preparation.</w:t>
            </w:r>
          </w:p>
        </w:tc>
      </w:tr>
      <w:tr>
        <w:tc>
          <w:tcPr>
            <w:tcW w:type="dxa" w:w="2160"/>
            <w:shd w:val="clear" w:color="auto" w:fill="DCE6F1"/>
          </w:tcPr>
          <w:p>
            <w:r/>
            <w:r>
              <w:rPr>
                <w:b/>
                <w:color w:val="17375E"/>
              </w:rPr>
              <w:t>Chapter reference</w:t>
            </w:r>
          </w:p>
        </w:tc>
        <w:tc>
          <w:tcPr>
            <w:tcW w:type="dxa" w:w="7200"/>
          </w:tcPr>
          <w:p>
            <w:pPr>
              <w:spacing w:after="20" w:line="240" w:lineRule="auto"/>
            </w:pPr>
            <w:r/>
            <w:r>
              <w:rPr>
                <w:b w:val="0"/>
              </w:rPr>
              <w:t>Chapter 25, Quality, Audits and Inspection Readiness — section 25.5 (Tables 25.1 and 25.2).</w:t>
            </w:r>
          </w:p>
        </w:tc>
      </w:tr>
    </w:tbl>
    <w:p>
      <w:pPr>
        <w:spacing w:after="0" w:before="0" w:line="80" w:lineRule="exact"/>
      </w:pPr>
      <w:r>
        <w:rPr>
          <w:sz w:val="8"/>
        </w:rPr>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2376"/>
        <w:gridCol w:w="2304"/>
        <w:gridCol w:w="2376"/>
      </w:tblGrid>
      <w:tr>
        <w:trPr>
          <w:trHeight w:val="432" w:hRule="atLeast"/>
        </w:trPr>
        <w:tc>
          <w:tcPr>
            <w:tcW w:type="dxa" w:w="2304"/>
            <w:shd w:val="clear" w:color="auto" w:fill="DCE6F1"/>
          </w:tcPr>
          <w:p>
            <w:pPr>
              <w:spacing w:after="20" w:line="240" w:lineRule="auto"/>
            </w:pPr>
            <w:r>
              <w:rPr>
                <w:b/>
              </w:rPr>
            </w:r>
            <w:r>
              <w:rPr>
                <w:b/>
                <w:sz w:val="18"/>
              </w:rPr>
              <w:t>Scope (products, sites)</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Self-check date</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Lead</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Previous check (date / reference)</w:t>
            </w:r>
          </w:p>
        </w:tc>
        <w:tc>
          <w:tcPr>
            <w:tcW w:type="dxa" w:w="2376"/>
          </w:tcPr>
          <w:p>
            <w:pPr>
              <w:spacing w:after="20" w:line="240" w:lineRule="auto"/>
            </w:pPr>
            <w:r/>
          </w:p>
        </w:tc>
      </w:tr>
    </w:tbl>
    <w:p>
      <w:pPr>
        <w:spacing w:after="0" w:before="0" w:line="80" w:lineRule="exact"/>
      </w:pPr>
      <w:r>
        <w:rPr>
          <w:sz w:val="8"/>
        </w:rPr>
      </w:r>
    </w:p>
    <w:p>
      <w:pPr>
        <w:pStyle w:val="Heading1"/>
      </w:pPr>
      <w:r>
        <w:t>Part 1 — Readiness tests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023"/>
        <w:gridCol w:w="1872"/>
        <w:gridCol w:w="1872"/>
        <w:gridCol w:w="1295"/>
        <w:gridCol w:w="1295"/>
      </w:tblGrid>
      <w:tr>
        <w:trPr>
          <w:tblHeader w:val="true"/>
          <w:cantSplit w:val="true"/>
        </w:trPr>
        <w:tc>
          <w:tcPr>
            <w:tcW w:type="dxa" w:w="3024"/>
            <w:shd w:val="clear" w:color="auto" w:fill="17375E"/>
            <w:vAlign w:val="center"/>
          </w:tcPr>
          <w:p>
            <w:pPr>
              <w:spacing w:after="20" w:line="240" w:lineRule="auto"/>
            </w:pPr>
            <w:r>
              <w:rPr>
                <w:b/>
              </w:rPr>
            </w:r>
            <w:r>
              <w:rPr>
                <w:b/>
                <w:color w:val="FFFFFF"/>
                <w:sz w:val="17"/>
              </w:rPr>
              <w:t>Test</w:t>
            </w:r>
          </w:p>
        </w:tc>
        <w:tc>
          <w:tcPr>
            <w:tcW w:type="dxa" w:w="1872"/>
            <w:shd w:val="clear" w:color="auto" w:fill="17375E"/>
            <w:vAlign w:val="center"/>
          </w:tcPr>
          <w:p>
            <w:pPr>
              <w:spacing w:after="20" w:line="240" w:lineRule="auto"/>
            </w:pPr>
            <w:r>
              <w:rPr>
                <w:b/>
              </w:rPr>
            </w:r>
            <w:r>
              <w:rPr>
                <w:b/>
                <w:color w:val="FFFFFF"/>
                <w:sz w:val="17"/>
              </w:rPr>
              <w:t>Source requirement</w:t>
            </w:r>
          </w:p>
        </w:tc>
        <w:tc>
          <w:tcPr>
            <w:tcW w:type="dxa" w:w="1872"/>
            <w:shd w:val="clear" w:color="auto" w:fill="17375E"/>
            <w:vAlign w:val="center"/>
          </w:tcPr>
          <w:p>
            <w:pPr>
              <w:spacing w:after="20" w:line="240" w:lineRule="auto"/>
            </w:pPr>
            <w:r>
              <w:rPr>
                <w:b/>
              </w:rPr>
            </w:r>
            <w:r>
              <w:rPr>
                <w:b/>
                <w:color w:val="FFFFFF"/>
                <w:sz w:val="17"/>
              </w:rPr>
              <w:t>Evidence to pull</w:t>
            </w:r>
          </w:p>
        </w:tc>
        <w:tc>
          <w:tcPr>
            <w:tcW w:type="dxa" w:w="1296"/>
            <w:shd w:val="clear" w:color="auto" w:fill="17375E"/>
            <w:vAlign w:val="center"/>
          </w:tcPr>
          <w:p>
            <w:pPr>
              <w:spacing w:after="20" w:line="240" w:lineRule="auto"/>
            </w:pPr>
            <w:r>
              <w:rPr>
                <w:b/>
              </w:rPr>
            </w:r>
            <w:r>
              <w:rPr>
                <w:b/>
                <w:color w:val="FFFFFF"/>
                <w:sz w:val="17"/>
              </w:rPr>
              <w:t>Last result</w:t>
            </w:r>
          </w:p>
        </w:tc>
        <w:tc>
          <w:tcPr>
            <w:tcW w:type="dxa" w:w="1296"/>
            <w:shd w:val="clear" w:color="auto" w:fill="17375E"/>
            <w:vAlign w:val="center"/>
          </w:tcPr>
          <w:p>
            <w:pPr>
              <w:spacing w:after="20" w:line="240" w:lineRule="auto"/>
            </w:pPr>
            <w:r>
              <w:rPr>
                <w:b/>
              </w:rPr>
            </w:r>
            <w:r>
              <w:rPr>
                <w:b/>
                <w:color w:val="FFFFFF"/>
                <w:sz w:val="17"/>
              </w:rPr>
              <w:t>Owner</w:t>
            </w:r>
          </w:p>
        </w:tc>
      </w:tr>
      <w:tr>
        <w:trPr>
          <w:cantSplit w:val="true"/>
        </w:trPr>
        <w:tc>
          <w:tcPr>
            <w:tcW w:type="dxa" w:w="3024"/>
            <w:shd w:val="clear" w:color="auto" w:fill="DCE6F1"/>
          </w:tcPr>
          <w:p>
            <w:pPr>
              <w:spacing w:after="20" w:line="240" w:lineRule="auto"/>
            </w:pPr>
            <w:r>
              <w:rPr>
                <w:b/>
              </w:rPr>
            </w:r>
            <w:r>
              <w:rPr>
                <w:b/>
                <w:sz w:val="17"/>
              </w:rPr>
              <w:t>Every closed complaint has a reportability decision with reason</w:t>
            </w:r>
          </w:p>
        </w:tc>
        <w:tc>
          <w:tcPr>
            <w:tcW w:type="dxa" w:w="1872"/>
            <w:shd w:val="clear" w:color="auto" w:fill="F2F2F2"/>
          </w:tcPr>
          <w:p>
            <w:pPr>
              <w:spacing w:after="20" w:line="240" w:lineRule="auto"/>
            </w:pPr>
            <w:r/>
            <w:r>
              <w:rPr>
                <w:b w:val="0"/>
                <w:sz w:val="17"/>
              </w:rPr>
              <w:t>ISO 13485 8.2.2; 21 CFR 820.35; 803.18</w:t>
            </w:r>
          </w:p>
        </w:tc>
        <w:tc>
          <w:tcPr>
            <w:tcW w:type="dxa" w:w="1872"/>
            <w:shd w:val="clear" w:color="auto" w:fill="F2F2F2"/>
          </w:tcPr>
          <w:p>
            <w:pPr>
              <w:spacing w:after="20" w:line="240" w:lineRule="auto"/>
            </w:pPr>
            <w:r/>
            <w:r>
              <w:rPr>
                <w:b w:val="0"/>
                <w:sz w:val="17"/>
              </w:rPr>
              <w:t>Sample of closed complaints</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"Not reportable" decisions on complaints mentioning a health effect have a second reviewer</w:t>
            </w:r>
          </w:p>
        </w:tc>
        <w:tc>
          <w:tcPr>
            <w:tcW w:type="dxa" w:w="1872"/>
            <w:shd w:val="clear" w:color="auto" w:fill="F2F2F2"/>
          </w:tcPr>
          <w:p>
            <w:pPr>
              <w:spacing w:after="20" w:line="240" w:lineRule="auto"/>
            </w:pPr>
            <w:r/>
            <w:r>
              <w:rPr>
                <w:b w:val="0"/>
                <w:sz w:val="17"/>
              </w:rPr>
              <w:t>Company SOP</w:t>
            </w:r>
          </w:p>
        </w:tc>
        <w:tc>
          <w:tcPr>
            <w:tcW w:type="dxa" w:w="1872"/>
            <w:shd w:val="clear" w:color="auto" w:fill="F2F2F2"/>
          </w:tcPr>
          <w:p>
            <w:pPr>
              <w:spacing w:after="20" w:line="240" w:lineRule="auto"/>
            </w:pPr>
            <w:r/>
            <w:r>
              <w:rPr>
                <w:b w:val="0"/>
                <w:sz w:val="17"/>
              </w:rPr>
              <w:t>Sample of closed health-effect complaints</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Trend analysis run as the PMS plan specifies</w:t>
            </w:r>
          </w:p>
        </w:tc>
        <w:tc>
          <w:tcPr>
            <w:tcW w:type="dxa" w:w="1872"/>
            <w:shd w:val="clear" w:color="auto" w:fill="F2F2F2"/>
          </w:tcPr>
          <w:p>
            <w:pPr>
              <w:spacing w:after="20" w:line="240" w:lineRule="auto"/>
            </w:pPr>
            <w:r/>
            <w:r>
              <w:rPr>
                <w:b w:val="0"/>
                <w:sz w:val="17"/>
              </w:rPr>
              <w:t>MDR Art 84, Annex III</w:t>
            </w:r>
          </w:p>
        </w:tc>
        <w:tc>
          <w:tcPr>
            <w:tcW w:type="dxa" w:w="1872"/>
            <w:shd w:val="clear" w:color="auto" w:fill="F2F2F2"/>
          </w:tcPr>
          <w:p>
            <w:pPr>
              <w:spacing w:after="20" w:line="240" w:lineRule="auto"/>
            </w:pPr>
            <w:r/>
            <w:r>
              <w:rPr>
                <w:b w:val="0"/>
                <w:sz w:val="17"/>
              </w:rPr>
              <w:t>Trend reports vs plan schedule</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Coding uses IMDRF terms on separate problem and health-effect axes</w:t>
            </w:r>
          </w:p>
        </w:tc>
        <w:tc>
          <w:tcPr>
            <w:tcW w:type="dxa" w:w="1872"/>
            <w:shd w:val="clear" w:color="auto" w:fill="F2F2F2"/>
          </w:tcPr>
          <w:p>
            <w:pPr>
              <w:spacing w:after="20" w:line="240" w:lineRule="auto"/>
            </w:pPr>
            <w:r/>
            <w:r>
              <w:rPr>
                <w:b w:val="0"/>
                <w:sz w:val="17"/>
              </w:rPr>
              <w:t>Company SOP</w:t>
            </w:r>
          </w:p>
        </w:tc>
        <w:tc>
          <w:tcPr>
            <w:tcW w:type="dxa" w:w="1872"/>
            <w:shd w:val="clear" w:color="auto" w:fill="F2F2F2"/>
          </w:tcPr>
          <w:p>
            <w:pPr>
              <w:spacing w:after="20" w:line="240" w:lineRule="auto"/>
            </w:pPr>
            <w:r/>
            <w:r>
              <w:rPr>
                <w:b w:val="0"/>
                <w:sz w:val="17"/>
              </w:rPr>
              <w:t>Coding QC log</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Signal records opened when the SOP says they must be</w:t>
            </w:r>
          </w:p>
        </w:tc>
        <w:tc>
          <w:tcPr>
            <w:tcW w:type="dxa" w:w="1872"/>
            <w:shd w:val="clear" w:color="auto" w:fill="F2F2F2"/>
          </w:tcPr>
          <w:p>
            <w:pPr>
              <w:spacing w:after="20" w:line="240" w:lineRule="auto"/>
            </w:pPr>
            <w:r/>
            <w:r>
              <w:rPr>
                <w:b w:val="0"/>
                <w:sz w:val="17"/>
              </w:rPr>
              <w:t>Company SOP</w:t>
            </w:r>
          </w:p>
        </w:tc>
        <w:tc>
          <w:tcPr>
            <w:tcW w:type="dxa" w:w="1872"/>
            <w:shd w:val="clear" w:color="auto" w:fill="F2F2F2"/>
          </w:tcPr>
          <w:p>
            <w:pPr>
              <w:spacing w:after="20" w:line="240" w:lineRule="auto"/>
            </w:pPr>
            <w:r/>
            <w:r>
              <w:rPr>
                <w:b w:val="0"/>
                <w:sz w:val="17"/>
              </w:rPr>
              <w:t>Signal log vs trigger events</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Serious-incident decisions and deadlines documented</w:t>
            </w:r>
          </w:p>
        </w:tc>
        <w:tc>
          <w:tcPr>
            <w:tcW w:type="dxa" w:w="1872"/>
            <w:shd w:val="clear" w:color="auto" w:fill="F2F2F2"/>
          </w:tcPr>
          <w:p>
            <w:pPr>
              <w:spacing w:after="20" w:line="240" w:lineRule="auto"/>
            </w:pPr>
            <w:r/>
            <w:r>
              <w:rPr>
                <w:b w:val="0"/>
                <w:sz w:val="17"/>
              </w:rPr>
              <w:t>MDR Art 87; 21 CFR Part 803</w:t>
            </w:r>
          </w:p>
        </w:tc>
        <w:tc>
          <w:tcPr>
            <w:tcW w:type="dxa" w:w="1872"/>
            <w:shd w:val="clear" w:color="auto" w:fill="F2F2F2"/>
          </w:tcPr>
          <w:p>
            <w:pPr>
              <w:spacing w:after="20" w:line="240" w:lineRule="auto"/>
            </w:pPr>
            <w:r/>
            <w:r>
              <w:rPr>
                <w:b w:val="0"/>
                <w:sz w:val="17"/>
              </w:rPr>
              <w:t>Incident assessment records</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Signal conclusions feed the risk management file</w:t>
            </w:r>
          </w:p>
        </w:tc>
        <w:tc>
          <w:tcPr>
            <w:tcW w:type="dxa" w:w="1872"/>
            <w:shd w:val="clear" w:color="auto" w:fill="F2F2F2"/>
          </w:tcPr>
          <w:p>
            <w:pPr>
              <w:spacing w:after="20" w:line="240" w:lineRule="auto"/>
            </w:pPr>
            <w:r/>
            <w:r>
              <w:rPr>
                <w:b w:val="0"/>
                <w:sz w:val="17"/>
              </w:rPr>
              <w:t>ISO 14971 clause 10</w:t>
            </w:r>
          </w:p>
        </w:tc>
        <w:tc>
          <w:tcPr>
            <w:tcW w:type="dxa" w:w="1872"/>
            <w:shd w:val="clear" w:color="auto" w:fill="F2F2F2"/>
          </w:tcPr>
          <w:p>
            <w:pPr>
              <w:spacing w:after="20" w:line="240" w:lineRule="auto"/>
            </w:pPr>
            <w:r/>
            <w:r>
              <w:rPr>
                <w:b w:val="0"/>
                <w:sz w:val="17"/>
              </w:rPr>
              <w:t>Risk file update records</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Supplier change notification in quality agreements</w:t>
            </w:r>
          </w:p>
        </w:tc>
        <w:tc>
          <w:tcPr>
            <w:tcW w:type="dxa" w:w="1872"/>
            <w:shd w:val="clear" w:color="auto" w:fill="F2F2F2"/>
          </w:tcPr>
          <w:p>
            <w:pPr>
              <w:spacing w:after="20" w:line="240" w:lineRule="auto"/>
            </w:pPr>
            <w:r/>
            <w:r>
              <w:rPr>
                <w:b w:val="0"/>
                <w:sz w:val="17"/>
              </w:rPr>
              <w:t>ISO 13485 purchasing controls</w:t>
            </w:r>
          </w:p>
        </w:tc>
        <w:tc>
          <w:tcPr>
            <w:tcW w:type="dxa" w:w="1872"/>
            <w:shd w:val="clear" w:color="auto" w:fill="F2F2F2"/>
          </w:tcPr>
          <w:p>
            <w:pPr>
              <w:spacing w:after="20" w:line="240" w:lineRule="auto"/>
            </w:pPr>
            <w:r/>
            <w:r>
              <w:rPr>
                <w:b w:val="0"/>
                <w:sz w:val="17"/>
              </w:rPr>
              <w:t>Agreement register</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Distributor complaint-transfer timelines defined and met</w:t>
            </w:r>
          </w:p>
        </w:tc>
        <w:tc>
          <w:tcPr>
            <w:tcW w:type="dxa" w:w="1872"/>
            <w:shd w:val="clear" w:color="auto" w:fill="F2F2F2"/>
          </w:tcPr>
          <w:p>
            <w:pPr>
              <w:spacing w:after="20" w:line="240" w:lineRule="auto"/>
            </w:pPr>
            <w:r/>
            <w:r>
              <w:rPr>
                <w:b w:val="0"/>
                <w:sz w:val="17"/>
              </w:rPr>
              <w:t>Company agreements</w:t>
            </w:r>
          </w:p>
        </w:tc>
        <w:tc>
          <w:tcPr>
            <w:tcW w:type="dxa" w:w="1872"/>
            <w:shd w:val="clear" w:color="auto" w:fill="F2F2F2"/>
          </w:tcPr>
          <w:p>
            <w:pPr>
              <w:spacing w:after="20" w:line="240" w:lineRule="auto"/>
            </w:pPr>
            <w:r/>
            <w:r>
              <w:rPr>
                <w:b w:val="0"/>
                <w:sz w:val="17"/>
              </w:rPr>
              <w:t>Distribution/vigilance agreements; transfer log</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Signal process CAPA includes a look-back</w:t>
            </w:r>
          </w:p>
        </w:tc>
        <w:tc>
          <w:tcPr>
            <w:tcW w:type="dxa" w:w="1872"/>
            <w:shd w:val="clear" w:color="auto" w:fill="F2F2F2"/>
          </w:tcPr>
          <w:p>
            <w:pPr>
              <w:spacing w:after="20" w:line="240" w:lineRule="auto"/>
            </w:pPr>
            <w:r/>
            <w:r>
              <w:rPr>
                <w:b w:val="0"/>
                <w:sz w:val="17"/>
              </w:rPr>
              <w:t>ISO 13485 8.5.2</w:t>
            </w:r>
          </w:p>
        </w:tc>
        <w:tc>
          <w:tcPr>
            <w:tcW w:type="dxa" w:w="1872"/>
            <w:shd w:val="clear" w:color="auto" w:fill="F2F2F2"/>
          </w:tcPr>
          <w:p>
            <w:pPr>
              <w:spacing w:after="20" w:line="240" w:lineRule="auto"/>
            </w:pPr>
            <w:r/>
            <w:r>
              <w:rPr>
                <w:b w:val="0"/>
                <w:sz w:val="17"/>
              </w:rPr>
              <w:t>CAPA file</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Decision-quality sample run monthly; disagreement rate tracked</w:t>
            </w:r>
          </w:p>
        </w:tc>
        <w:tc>
          <w:tcPr>
            <w:tcW w:type="dxa" w:w="1872"/>
            <w:shd w:val="clear" w:color="auto" w:fill="F2F2F2"/>
          </w:tcPr>
          <w:p>
            <w:pPr>
              <w:spacing w:after="20" w:line="240" w:lineRule="auto"/>
            </w:pPr>
            <w:r/>
            <w:r>
              <w:rPr>
                <w:b w:val="0"/>
                <w:sz w:val="17"/>
              </w:rPr>
              <w:t>Company SOP</w:t>
            </w:r>
          </w:p>
        </w:tc>
        <w:tc>
          <w:tcPr>
            <w:tcW w:type="dxa" w:w="1872"/>
            <w:shd w:val="clear" w:color="auto" w:fill="F2F2F2"/>
          </w:tcPr>
          <w:p>
            <w:pPr>
              <w:spacing w:after="20" w:line="240" w:lineRule="auto"/>
            </w:pPr>
            <w:r/>
            <w:r>
              <w:rPr>
                <w:b w:val="0"/>
                <w:sz w:val="17"/>
              </w:rPr>
              <w:t>Sampling records</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Signal system health reported to management review</w:t>
            </w:r>
          </w:p>
        </w:tc>
        <w:tc>
          <w:tcPr>
            <w:tcW w:type="dxa" w:w="1872"/>
            <w:shd w:val="clear" w:color="auto" w:fill="F2F2F2"/>
          </w:tcPr>
          <w:p>
            <w:pPr>
              <w:spacing w:after="20" w:line="240" w:lineRule="auto"/>
            </w:pPr>
            <w:r/>
            <w:r>
              <w:rPr>
                <w:b w:val="0"/>
                <w:sz w:val="17"/>
              </w:rPr>
              <w:t>Company SOP</w:t>
            </w:r>
          </w:p>
        </w:tc>
        <w:tc>
          <w:tcPr>
            <w:tcW w:type="dxa" w:w="1872"/>
            <w:shd w:val="clear" w:color="auto" w:fill="F2F2F2"/>
          </w:tcPr>
          <w:p>
            <w:pPr>
              <w:spacing w:after="20" w:line="240" w:lineRule="auto"/>
            </w:pPr>
            <w:r/>
            <w:r>
              <w:rPr>
                <w:b w:val="0"/>
                <w:sz w:val="17"/>
              </w:rPr>
              <w:t>Management review minutes</w:t>
            </w:r>
          </w:p>
        </w:tc>
        <w:tc>
          <w:tcPr>
            <w:tcW w:type="dxa" w:w="1296"/>
          </w:tcPr>
          <w:p>
            <w:pPr>
              <w:spacing w:after="20" w:line="240" w:lineRule="auto"/>
            </w:pPr>
            <w:r/>
          </w:p>
        </w:tc>
        <w:tc>
          <w:tcPr>
            <w:tcW w:type="dxa" w:w="1296"/>
          </w:tcPr>
          <w:p>
            <w:pPr>
              <w:spacing w:after="20" w:line="240" w:lineRule="auto"/>
            </w:pPr>
            <w:r/>
          </w:p>
        </w:tc>
      </w:tr>
      <w:tr>
        <w:trPr>
          <w:cantSplit w:val="true"/>
        </w:trPr>
        <w:tc>
          <w:tcPr>
            <w:tcW w:type="dxa" w:w="3024"/>
            <w:shd w:val="clear" w:color="auto" w:fill="DCE6F1"/>
          </w:tcPr>
          <w:p>
            <w:pPr>
              <w:spacing w:after="20" w:line="240" w:lineRule="auto"/>
            </w:pPr>
            <w:r>
              <w:rPr>
                <w:b/>
              </w:rPr>
            </w:r>
            <w:r>
              <w:rPr>
                <w:b/>
                <w:sz w:val="17"/>
              </w:rPr>
              <w:t>Information requests can be answered quickly (GB: within 3 working days when MHRA requests it during an investigation)</w:t>
            </w:r>
          </w:p>
        </w:tc>
        <w:tc>
          <w:tcPr>
            <w:tcW w:type="dxa" w:w="1872"/>
            <w:shd w:val="clear" w:color="auto" w:fill="F2F2F2"/>
          </w:tcPr>
          <w:p>
            <w:pPr>
              <w:spacing w:after="20" w:line="240" w:lineRule="auto"/>
            </w:pPr>
            <w:r/>
            <w:r>
              <w:rPr>
                <w:b w:val="0"/>
                <w:sz w:val="17"/>
              </w:rPr>
              <w:t>GB PMS regulations</w:t>
            </w:r>
          </w:p>
        </w:tc>
        <w:tc>
          <w:tcPr>
            <w:tcW w:type="dxa" w:w="1872"/>
            <w:shd w:val="clear" w:color="auto" w:fill="F2F2F2"/>
          </w:tcPr>
          <w:p>
            <w:pPr>
              <w:spacing w:after="20" w:line="240" w:lineRule="auto"/>
            </w:pPr>
            <w:r/>
            <w:r>
              <w:rPr>
                <w:b w:val="0"/>
                <w:sz w:val="17"/>
              </w:rPr>
              <w:t>Retrieval drill log</w:t>
            </w:r>
          </w:p>
        </w:tc>
        <w:tc>
          <w:tcPr>
            <w:tcW w:type="dxa" w:w="1296"/>
          </w:tcPr>
          <w:p>
            <w:pPr>
              <w:spacing w:after="20" w:line="240" w:lineRule="auto"/>
            </w:pPr>
            <w:r/>
          </w:p>
        </w:tc>
        <w:tc>
          <w:tcPr>
            <w:tcW w:type="dxa" w:w="1296"/>
          </w:tcPr>
          <w:p>
            <w:pPr>
              <w:spacing w:after="20" w:line="240" w:lineRule="auto"/>
            </w:pPr>
            <w:r/>
          </w:p>
        </w:tc>
      </w:tr>
    </w:tbl>
    <w:p>
      <w:pPr>
        <w:spacing w:after="0" w:before="0" w:line="80" w:lineRule="exact"/>
      </w:pPr>
      <w:r>
        <w:rPr>
          <w:sz w:val="8"/>
        </w:rPr>
      </w:r>
    </w:p>
    <w:p>
      <w:r>
        <w:rPr>
          <w:b w:val="0"/>
          <w:i/>
          <w:color w:val="595959"/>
          <w:sz w:val="18"/>
        </w:rPr>
        <w:t>Result examples: Pass; Pass after CAPA; Partial (with scope); Fail. Test content, not presence: a filled decision field that says only "no MDR required" is a fail.</w:t>
      </w:r>
    </w:p>
    <w:p>
      <w:pPr>
        <w:pStyle w:val="Heading1"/>
      </w:pPr>
      <w:r>
        <w:t>Part 2 — Mock-audit exercise</w:t>
      </w:r>
    </w:p>
    <w:p>
      <w:r>
        <w:rPr>
          <w:b w:val="0"/>
        </w:rPr>
        <w:t>Pick one complaint at random from last quarter. Without warning the team, ask them to produce, within two hours, every record the complaint touched. Time the exercise and note every gap. Repeat it with a complaint that mentions injury.</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888"/>
        <w:gridCol w:w="1584"/>
        <w:gridCol w:w="1296"/>
        <w:gridCol w:w="2592"/>
      </w:tblGrid>
      <w:tr>
        <w:trPr>
          <w:tblHeader w:val="true"/>
          <w:cantSplit w:val="true"/>
        </w:trPr>
        <w:tc>
          <w:tcPr>
            <w:tcW w:type="dxa" w:w="3888"/>
            <w:shd w:val="clear" w:color="auto" w:fill="17375E"/>
            <w:vAlign w:val="center"/>
          </w:tcPr>
          <w:p>
            <w:pPr>
              <w:spacing w:after="20" w:line="240" w:lineRule="auto"/>
            </w:pPr>
            <w:r>
              <w:rPr>
                <w:b/>
              </w:rPr>
            </w:r>
            <w:r>
              <w:rPr>
                <w:b/>
                <w:color w:val="FFFFFF"/>
                <w:sz w:val="18"/>
              </w:rPr>
              <w:t>Record the complaint touched</w:t>
            </w:r>
          </w:p>
        </w:tc>
        <w:tc>
          <w:tcPr>
            <w:tcW w:type="dxa" w:w="1584"/>
            <w:shd w:val="clear" w:color="auto" w:fill="17375E"/>
            <w:vAlign w:val="center"/>
          </w:tcPr>
          <w:p>
            <w:pPr>
              <w:spacing w:after="20" w:line="240" w:lineRule="auto"/>
            </w:pPr>
            <w:r>
              <w:rPr>
                <w:b/>
              </w:rPr>
            </w:r>
            <w:r>
              <w:rPr>
                <w:b/>
                <w:color w:val="FFFFFF"/>
                <w:sz w:val="18"/>
              </w:rPr>
              <w:t>Produced? (Y/N)</w:t>
            </w:r>
          </w:p>
        </w:tc>
        <w:tc>
          <w:tcPr>
            <w:tcW w:type="dxa" w:w="1296"/>
            <w:shd w:val="clear" w:color="auto" w:fill="17375E"/>
            <w:vAlign w:val="center"/>
          </w:tcPr>
          <w:p>
            <w:pPr>
              <w:spacing w:after="20" w:line="240" w:lineRule="auto"/>
            </w:pPr>
            <w:r>
              <w:rPr>
                <w:b/>
              </w:rPr>
            </w:r>
            <w:r>
              <w:rPr>
                <w:b/>
                <w:color w:val="FFFFFF"/>
                <w:sz w:val="18"/>
              </w:rPr>
              <w:t>Time</w:t>
            </w:r>
          </w:p>
        </w:tc>
        <w:tc>
          <w:tcPr>
            <w:tcW w:type="dxa" w:w="2592"/>
            <w:shd w:val="clear" w:color="auto" w:fill="17375E"/>
            <w:vAlign w:val="center"/>
          </w:tcPr>
          <w:p>
            <w:pPr>
              <w:spacing w:after="20" w:line="240" w:lineRule="auto"/>
            </w:pPr>
            <w:r>
              <w:rPr>
                <w:b/>
              </w:rPr>
            </w:r>
            <w:r>
              <w:rPr>
                <w:b/>
                <w:color w:val="FFFFFF"/>
                <w:sz w:val="18"/>
              </w:rPr>
              <w:t>Gap found</w:t>
            </w:r>
          </w:p>
        </w:tc>
      </w:tr>
      <w:tr>
        <w:trPr>
          <w:cantSplit w:val="true"/>
        </w:trPr>
        <w:tc>
          <w:tcPr>
            <w:tcW w:type="dxa" w:w="3888"/>
            <w:shd w:val="clear" w:color="auto" w:fill="DCE6F1"/>
          </w:tcPr>
          <w:p>
            <w:pPr>
              <w:spacing w:after="20" w:line="240" w:lineRule="auto"/>
            </w:pPr>
            <w:r>
              <w:rPr>
                <w:b/>
              </w:rPr>
            </w:r>
            <w:r>
              <w:rPr>
                <w:b/>
                <w:sz w:val="18"/>
              </w:rPr>
              <w:t>Coding (IMDRF, both axes)</w:t>
            </w:r>
          </w:p>
        </w:tc>
        <w:tc>
          <w:tcPr>
            <w:tcW w:type="dxa" w:w="1584"/>
          </w:tcPr>
          <w:p>
            <w:pPr>
              <w:spacing w:after="20" w:line="240" w:lineRule="auto"/>
            </w:pPr>
            <w:r/>
          </w:p>
        </w:tc>
        <w:tc>
          <w:tcPr>
            <w:tcW w:type="dxa" w:w="1296"/>
          </w:tcPr>
          <w:p>
            <w:pPr>
              <w:spacing w:after="20" w:line="240" w:lineRule="auto"/>
            </w:pPr>
            <w:r/>
          </w:p>
        </w:tc>
        <w:tc>
          <w:tcPr>
            <w:tcW w:type="dxa" w:w="2592"/>
          </w:tcPr>
          <w:p>
            <w:pPr>
              <w:spacing w:after="20" w:line="240" w:lineRule="auto"/>
            </w:pPr>
            <w:r/>
          </w:p>
        </w:tc>
      </w:tr>
      <w:tr>
        <w:trPr>
          <w:cantSplit w:val="true"/>
        </w:trPr>
        <w:tc>
          <w:tcPr>
            <w:tcW w:type="dxa" w:w="3888"/>
            <w:shd w:val="clear" w:color="auto" w:fill="DCE6F1"/>
          </w:tcPr>
          <w:p>
            <w:pPr>
              <w:spacing w:after="20" w:line="240" w:lineRule="auto"/>
            </w:pPr>
            <w:r>
              <w:rPr>
                <w:b/>
              </w:rPr>
            </w:r>
            <w:r>
              <w:rPr>
                <w:b/>
                <w:sz w:val="18"/>
              </w:rPr>
              <w:t>Reportability decision and reason (each jurisdiction)</w:t>
            </w:r>
          </w:p>
        </w:tc>
        <w:tc>
          <w:tcPr>
            <w:tcW w:type="dxa" w:w="1584"/>
          </w:tcPr>
          <w:p>
            <w:pPr>
              <w:spacing w:after="20" w:line="240" w:lineRule="auto"/>
            </w:pPr>
            <w:r/>
          </w:p>
        </w:tc>
        <w:tc>
          <w:tcPr>
            <w:tcW w:type="dxa" w:w="1296"/>
          </w:tcPr>
          <w:p>
            <w:pPr>
              <w:spacing w:after="20" w:line="240" w:lineRule="auto"/>
            </w:pPr>
            <w:r/>
          </w:p>
        </w:tc>
        <w:tc>
          <w:tcPr>
            <w:tcW w:type="dxa" w:w="2592"/>
          </w:tcPr>
          <w:p>
            <w:pPr>
              <w:spacing w:after="20" w:line="240" w:lineRule="auto"/>
            </w:pPr>
            <w:r/>
          </w:p>
        </w:tc>
      </w:tr>
      <w:tr>
        <w:trPr>
          <w:cantSplit w:val="true"/>
        </w:trPr>
        <w:tc>
          <w:tcPr>
            <w:tcW w:type="dxa" w:w="3888"/>
            <w:shd w:val="clear" w:color="auto" w:fill="DCE6F1"/>
          </w:tcPr>
          <w:p>
            <w:pPr>
              <w:spacing w:after="20" w:line="240" w:lineRule="auto"/>
            </w:pPr>
            <w:r>
              <w:rPr>
                <w:b/>
              </w:rPr>
            </w:r>
            <w:r>
              <w:rPr>
                <w:b/>
                <w:sz w:val="18"/>
              </w:rPr>
              <w:t>Trend inclusion</w:t>
            </w:r>
          </w:p>
        </w:tc>
        <w:tc>
          <w:tcPr>
            <w:tcW w:type="dxa" w:w="1584"/>
          </w:tcPr>
          <w:p>
            <w:pPr>
              <w:spacing w:after="20" w:line="240" w:lineRule="auto"/>
            </w:pPr>
            <w:r/>
          </w:p>
        </w:tc>
        <w:tc>
          <w:tcPr>
            <w:tcW w:type="dxa" w:w="1296"/>
          </w:tcPr>
          <w:p>
            <w:pPr>
              <w:spacing w:after="20" w:line="240" w:lineRule="auto"/>
            </w:pPr>
            <w:r/>
          </w:p>
        </w:tc>
        <w:tc>
          <w:tcPr>
            <w:tcW w:type="dxa" w:w="2592"/>
          </w:tcPr>
          <w:p>
            <w:pPr>
              <w:spacing w:after="20" w:line="240" w:lineRule="auto"/>
            </w:pPr>
            <w:r/>
          </w:p>
        </w:tc>
      </w:tr>
      <w:tr>
        <w:trPr>
          <w:cantSplit w:val="true"/>
        </w:trPr>
        <w:tc>
          <w:tcPr>
            <w:tcW w:type="dxa" w:w="3888"/>
            <w:shd w:val="clear" w:color="auto" w:fill="DCE6F1"/>
          </w:tcPr>
          <w:p>
            <w:pPr>
              <w:spacing w:after="20" w:line="240" w:lineRule="auto"/>
            </w:pPr>
            <w:r>
              <w:rPr>
                <w:b/>
              </w:rPr>
            </w:r>
            <w:r>
              <w:rPr>
                <w:b/>
                <w:sz w:val="18"/>
              </w:rPr>
              <w:t>Signal record (if any)</w:t>
            </w:r>
          </w:p>
        </w:tc>
        <w:tc>
          <w:tcPr>
            <w:tcW w:type="dxa" w:w="1584"/>
          </w:tcPr>
          <w:p>
            <w:pPr>
              <w:spacing w:after="20" w:line="240" w:lineRule="auto"/>
            </w:pPr>
            <w:r/>
          </w:p>
        </w:tc>
        <w:tc>
          <w:tcPr>
            <w:tcW w:type="dxa" w:w="1296"/>
          </w:tcPr>
          <w:p>
            <w:pPr>
              <w:spacing w:after="20" w:line="240" w:lineRule="auto"/>
            </w:pPr>
            <w:r/>
          </w:p>
        </w:tc>
        <w:tc>
          <w:tcPr>
            <w:tcW w:type="dxa" w:w="2592"/>
          </w:tcPr>
          <w:p>
            <w:pPr>
              <w:spacing w:after="20" w:line="240" w:lineRule="auto"/>
            </w:pPr>
            <w:r/>
          </w:p>
        </w:tc>
      </w:tr>
      <w:tr>
        <w:trPr>
          <w:cantSplit w:val="true"/>
        </w:trPr>
        <w:tc>
          <w:tcPr>
            <w:tcW w:type="dxa" w:w="3888"/>
            <w:shd w:val="clear" w:color="auto" w:fill="DCE6F1"/>
          </w:tcPr>
          <w:p>
            <w:pPr>
              <w:spacing w:after="20" w:line="240" w:lineRule="auto"/>
            </w:pPr>
            <w:r>
              <w:rPr>
                <w:b/>
              </w:rPr>
            </w:r>
            <w:r>
              <w:rPr>
                <w:b/>
                <w:sz w:val="18"/>
              </w:rPr>
              <w:t>Risk file link</w:t>
            </w:r>
          </w:p>
        </w:tc>
        <w:tc>
          <w:tcPr>
            <w:tcW w:type="dxa" w:w="1584"/>
          </w:tcPr>
          <w:p>
            <w:pPr>
              <w:spacing w:after="20" w:line="240" w:lineRule="auto"/>
            </w:pPr>
            <w:r/>
          </w:p>
        </w:tc>
        <w:tc>
          <w:tcPr>
            <w:tcW w:type="dxa" w:w="1296"/>
          </w:tcPr>
          <w:p>
            <w:pPr>
              <w:spacing w:after="20" w:line="240" w:lineRule="auto"/>
            </w:pPr>
            <w:r/>
          </w:p>
        </w:tc>
        <w:tc>
          <w:tcPr>
            <w:tcW w:type="dxa" w:w="2592"/>
          </w:tcPr>
          <w:p>
            <w:pPr>
              <w:spacing w:after="20" w:line="240" w:lineRule="auto"/>
            </w:pPr>
            <w:r/>
          </w:p>
        </w:tc>
      </w:tr>
      <w:tr>
        <w:trPr>
          <w:cantSplit w:val="true"/>
        </w:trPr>
        <w:tc>
          <w:tcPr>
            <w:tcW w:type="dxa" w:w="3888"/>
            <w:shd w:val="clear" w:color="auto" w:fill="DCE6F1"/>
          </w:tcPr>
          <w:p>
            <w:pPr>
              <w:spacing w:after="20" w:line="240" w:lineRule="auto"/>
            </w:pPr>
            <w:r>
              <w:rPr>
                <w:b/>
              </w:rPr>
            </w:r>
            <w:r>
              <w:rPr>
                <w:b/>
                <w:sz w:val="18"/>
              </w:rPr>
              <w:t>CAPA link</w:t>
            </w:r>
          </w:p>
        </w:tc>
        <w:tc>
          <w:tcPr>
            <w:tcW w:type="dxa" w:w="1584"/>
          </w:tcPr>
          <w:p>
            <w:pPr>
              <w:spacing w:after="20" w:line="240" w:lineRule="auto"/>
            </w:pPr>
            <w:r/>
          </w:p>
        </w:tc>
        <w:tc>
          <w:tcPr>
            <w:tcW w:type="dxa" w:w="1296"/>
          </w:tcPr>
          <w:p>
            <w:pPr>
              <w:spacing w:after="20" w:line="240" w:lineRule="auto"/>
            </w:pPr>
            <w:r/>
          </w:p>
        </w:tc>
        <w:tc>
          <w:tcPr>
            <w:tcW w:type="dxa" w:w="2592"/>
          </w:tcPr>
          <w:p>
            <w:pPr>
              <w:spacing w:after="20" w:line="240" w:lineRule="auto"/>
            </w:pPr>
            <w:r/>
          </w:p>
        </w:tc>
      </w:tr>
    </w:tbl>
    <w:p>
      <w:pPr>
        <w:spacing w:after="0" w:before="0" w:line="80" w:lineRule="exact"/>
      </w:pPr>
      <w:r>
        <w:rPr>
          <w:sz w:val="8"/>
        </w:rPr>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2376"/>
        <w:gridCol w:w="2304"/>
        <w:gridCol w:w="2376"/>
      </w:tblGrid>
      <w:tr>
        <w:trPr>
          <w:trHeight w:val="432" w:hRule="atLeast"/>
        </w:trPr>
        <w:tc>
          <w:tcPr>
            <w:tcW w:type="dxa" w:w="2304"/>
            <w:shd w:val="clear" w:color="auto" w:fill="DCE6F1"/>
          </w:tcPr>
          <w:p>
            <w:pPr>
              <w:spacing w:after="20" w:line="240" w:lineRule="auto"/>
            </w:pPr>
            <w:r>
              <w:rPr>
                <w:b/>
              </w:rPr>
            </w:r>
            <w:r>
              <w:rPr>
                <w:b/>
                <w:sz w:val="18"/>
              </w:rPr>
              <w:t>Complaint ID (random)</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Complaint ID (injury)</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Start / finish time</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Facilitator</w:t>
            </w:r>
          </w:p>
        </w:tc>
        <w:tc>
          <w:tcPr>
            <w:tcW w:type="dxa" w:w="2376"/>
          </w:tcPr>
          <w:p>
            <w:pPr>
              <w:spacing w:after="20" w:line="240" w:lineRule="auto"/>
            </w:pPr>
            <w:r/>
          </w:p>
        </w:tc>
      </w:tr>
    </w:tbl>
    <w:p>
      <w:pPr>
        <w:spacing w:after="0" w:before="0" w:line="80" w:lineRule="exact"/>
      </w:pPr>
      <w:r>
        <w:rPr>
          <w:sz w:val="8"/>
        </w:rPr>
      </w:r>
    </w:p>
    <w:p>
      <w:pPr>
        <w:pStyle w:val="Heading1"/>
      </w:pPr>
      <w:r>
        <w:t>Part 3 — Answering in the room</w:t>
      </w:r>
    </w:p>
    <w:p>
      <w:pPr>
        <w:spacing w:after="40"/>
        <w:ind w:left="360" w:hanging="360"/>
      </w:pPr>
      <w:r>
        <w:t xml:space="preserve">☐  </w:t>
      </w:r>
      <w:r>
        <w:rPr>
          <w:b w:val="0"/>
        </w:rPr>
        <w:t>Back-room team retrieves records; front-room lead presents them.</w:t>
      </w:r>
    </w:p>
    <w:p>
      <w:pPr>
        <w:spacing w:after="40"/>
        <w:ind w:left="360" w:hanging="360"/>
      </w:pPr>
      <w:r>
        <w:t xml:space="preserve">☐  </w:t>
      </w:r>
      <w:r>
        <w:rPr>
          <w:b w:val="0"/>
        </w:rPr>
        <w:t>Answers are short and exact; when a record does not exist, say so and do not improvise.</w:t>
      </w:r>
    </w:p>
    <w:p>
      <w:pPr>
        <w:spacing w:after="40"/>
        <w:ind w:left="360" w:hanging="360"/>
      </w:pPr>
      <w:r>
        <w:t xml:space="preserve">☐  </w:t>
      </w:r>
      <w:r>
        <w:rPr>
          <w:b w:val="0"/>
        </w:rPr>
        <w:t>Every request and every document provided is logged.</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152"/>
        <w:gridCol w:w="1007"/>
        <w:gridCol w:w="2880"/>
        <w:gridCol w:w="2592"/>
        <w:gridCol w:w="1728"/>
      </w:tblGrid>
      <w:tr>
        <w:trPr>
          <w:tblHeader w:val="true"/>
          <w:cantSplit w:val="true"/>
        </w:trPr>
        <w:tc>
          <w:tcPr>
            <w:tcW w:type="dxa" w:w="1152"/>
            <w:shd w:val="clear" w:color="auto" w:fill="17375E"/>
            <w:vAlign w:val="center"/>
          </w:tcPr>
          <w:p>
            <w:pPr>
              <w:spacing w:after="20" w:line="240" w:lineRule="auto"/>
            </w:pPr>
            <w:r>
              <w:rPr>
                <w:b/>
              </w:rPr>
            </w:r>
            <w:r>
              <w:rPr>
                <w:b/>
                <w:color w:val="FFFFFF"/>
                <w:sz w:val="18"/>
              </w:rPr>
              <w:t>Request no.</w:t>
            </w:r>
          </w:p>
        </w:tc>
        <w:tc>
          <w:tcPr>
            <w:tcW w:type="dxa" w:w="1008"/>
            <w:shd w:val="clear" w:color="auto" w:fill="17375E"/>
            <w:vAlign w:val="center"/>
          </w:tcPr>
          <w:p>
            <w:pPr>
              <w:spacing w:after="20" w:line="240" w:lineRule="auto"/>
            </w:pPr>
            <w:r>
              <w:rPr>
                <w:b/>
              </w:rPr>
            </w:r>
            <w:r>
              <w:rPr>
                <w:b/>
                <w:color w:val="FFFFFF"/>
                <w:sz w:val="18"/>
              </w:rPr>
              <w:t>Time</w:t>
            </w:r>
          </w:p>
        </w:tc>
        <w:tc>
          <w:tcPr>
            <w:tcW w:type="dxa" w:w="2880"/>
            <w:shd w:val="clear" w:color="auto" w:fill="17375E"/>
            <w:vAlign w:val="center"/>
          </w:tcPr>
          <w:p>
            <w:pPr>
              <w:spacing w:after="20" w:line="240" w:lineRule="auto"/>
            </w:pPr>
            <w:r>
              <w:rPr>
                <w:b/>
              </w:rPr>
            </w:r>
            <w:r>
              <w:rPr>
                <w:b/>
                <w:color w:val="FFFFFF"/>
                <w:sz w:val="18"/>
              </w:rPr>
              <w:t>Request</w:t>
            </w:r>
          </w:p>
        </w:tc>
        <w:tc>
          <w:tcPr>
            <w:tcW w:type="dxa" w:w="2592"/>
            <w:shd w:val="clear" w:color="auto" w:fill="17375E"/>
            <w:vAlign w:val="center"/>
          </w:tcPr>
          <w:p>
            <w:pPr>
              <w:spacing w:after="20" w:line="240" w:lineRule="auto"/>
            </w:pPr>
            <w:r>
              <w:rPr>
                <w:b/>
              </w:rPr>
            </w:r>
            <w:r>
              <w:rPr>
                <w:b/>
                <w:color w:val="FFFFFF"/>
                <w:sz w:val="18"/>
              </w:rPr>
              <w:t>Document provided (ID)</w:t>
            </w:r>
          </w:p>
        </w:tc>
        <w:tc>
          <w:tcPr>
            <w:tcW w:type="dxa" w:w="1728"/>
            <w:shd w:val="clear" w:color="auto" w:fill="17375E"/>
            <w:vAlign w:val="center"/>
          </w:tcPr>
          <w:p>
            <w:pPr>
              <w:spacing w:after="20" w:line="240" w:lineRule="auto"/>
            </w:pPr>
            <w:r>
              <w:rPr>
                <w:b/>
              </w:rPr>
            </w:r>
            <w:r>
              <w:rPr>
                <w:b/>
                <w:color w:val="FFFFFF"/>
                <w:sz w:val="18"/>
              </w:rPr>
              <w:t>Provided by</w:t>
            </w:r>
          </w:p>
        </w:tc>
      </w:tr>
      <w:tr>
        <w:trPr>
          <w:cantSplit w:val="true"/>
          <w:trHeight w:val="461" w:hRule="atLeast"/>
        </w:trPr>
        <w:tc>
          <w:tcPr>
            <w:tcW w:type="dxa" w:w="1152"/>
          </w:tcPr>
          <w:p>
            <w:pPr>
              <w:spacing w:after="20" w:line="240" w:lineRule="auto"/>
            </w:pPr>
            <w:r/>
          </w:p>
        </w:tc>
        <w:tc>
          <w:tcPr>
            <w:tcW w:type="dxa" w:w="1008"/>
          </w:tcPr>
          <w:p>
            <w:pPr>
              <w:spacing w:after="20" w:line="240" w:lineRule="auto"/>
            </w:pPr>
            <w:r/>
          </w:p>
        </w:tc>
        <w:tc>
          <w:tcPr>
            <w:tcW w:type="dxa" w:w="2880"/>
          </w:tcPr>
          <w:p>
            <w:pPr>
              <w:spacing w:after="20" w:line="240" w:lineRule="auto"/>
            </w:pPr>
            <w:r/>
          </w:p>
        </w:tc>
        <w:tc>
          <w:tcPr>
            <w:tcW w:type="dxa" w:w="2592"/>
          </w:tcPr>
          <w:p>
            <w:pPr>
              <w:spacing w:after="20" w:line="240" w:lineRule="auto"/>
            </w:pPr>
            <w:r/>
          </w:p>
        </w:tc>
        <w:tc>
          <w:tcPr>
            <w:tcW w:type="dxa" w:w="1728"/>
          </w:tcPr>
          <w:p>
            <w:pPr>
              <w:spacing w:after="20" w:line="240" w:lineRule="auto"/>
            </w:pPr>
            <w:r/>
          </w:p>
        </w:tc>
      </w:tr>
      <w:tr>
        <w:trPr>
          <w:cantSplit w:val="true"/>
          <w:trHeight w:val="461" w:hRule="atLeast"/>
        </w:trPr>
        <w:tc>
          <w:tcPr>
            <w:tcW w:type="dxa" w:w="1152"/>
          </w:tcPr>
          <w:p>
            <w:pPr>
              <w:spacing w:after="20" w:line="240" w:lineRule="auto"/>
            </w:pPr>
            <w:r/>
          </w:p>
        </w:tc>
        <w:tc>
          <w:tcPr>
            <w:tcW w:type="dxa" w:w="1008"/>
          </w:tcPr>
          <w:p>
            <w:pPr>
              <w:spacing w:after="20" w:line="240" w:lineRule="auto"/>
            </w:pPr>
            <w:r/>
          </w:p>
        </w:tc>
        <w:tc>
          <w:tcPr>
            <w:tcW w:type="dxa" w:w="2880"/>
          </w:tcPr>
          <w:p>
            <w:pPr>
              <w:spacing w:after="20" w:line="240" w:lineRule="auto"/>
            </w:pPr>
            <w:r/>
          </w:p>
        </w:tc>
        <w:tc>
          <w:tcPr>
            <w:tcW w:type="dxa" w:w="2592"/>
          </w:tcPr>
          <w:p>
            <w:pPr>
              <w:spacing w:after="20" w:line="240" w:lineRule="auto"/>
            </w:pPr>
            <w:r/>
          </w:p>
        </w:tc>
        <w:tc>
          <w:tcPr>
            <w:tcW w:type="dxa" w:w="1728"/>
          </w:tcPr>
          <w:p>
            <w:pPr>
              <w:spacing w:after="20" w:line="240" w:lineRule="auto"/>
            </w:pPr>
            <w:r/>
          </w:p>
        </w:tc>
      </w:tr>
      <w:tr>
        <w:trPr>
          <w:cantSplit w:val="true"/>
          <w:trHeight w:val="461" w:hRule="atLeast"/>
        </w:trPr>
        <w:tc>
          <w:tcPr>
            <w:tcW w:type="dxa" w:w="1152"/>
          </w:tcPr>
          <w:p>
            <w:pPr>
              <w:spacing w:after="20" w:line="240" w:lineRule="auto"/>
            </w:pPr>
            <w:r/>
          </w:p>
        </w:tc>
        <w:tc>
          <w:tcPr>
            <w:tcW w:type="dxa" w:w="1008"/>
          </w:tcPr>
          <w:p>
            <w:pPr>
              <w:spacing w:after="20" w:line="240" w:lineRule="auto"/>
            </w:pPr>
            <w:r/>
          </w:p>
        </w:tc>
        <w:tc>
          <w:tcPr>
            <w:tcW w:type="dxa" w:w="2880"/>
          </w:tcPr>
          <w:p>
            <w:pPr>
              <w:spacing w:after="20" w:line="240" w:lineRule="auto"/>
            </w:pPr>
            <w:r/>
          </w:p>
        </w:tc>
        <w:tc>
          <w:tcPr>
            <w:tcW w:type="dxa" w:w="2592"/>
          </w:tcPr>
          <w:p>
            <w:pPr>
              <w:spacing w:after="20" w:line="240" w:lineRule="auto"/>
            </w:pPr>
            <w:r/>
          </w:p>
        </w:tc>
        <w:tc>
          <w:tcPr>
            <w:tcW w:type="dxa" w:w="1728"/>
          </w:tcPr>
          <w:p>
            <w:pPr>
              <w:spacing w:after="20" w:line="240" w:lineRule="auto"/>
            </w:pPr>
            <w:r/>
          </w:p>
        </w:tc>
      </w:tr>
      <w:tr>
        <w:trPr>
          <w:cantSplit w:val="true"/>
          <w:trHeight w:val="461" w:hRule="atLeast"/>
        </w:trPr>
        <w:tc>
          <w:tcPr>
            <w:tcW w:type="dxa" w:w="1152"/>
          </w:tcPr>
          <w:p>
            <w:pPr>
              <w:spacing w:after="20" w:line="240" w:lineRule="auto"/>
            </w:pPr>
            <w:r/>
          </w:p>
        </w:tc>
        <w:tc>
          <w:tcPr>
            <w:tcW w:type="dxa" w:w="1008"/>
          </w:tcPr>
          <w:p>
            <w:pPr>
              <w:spacing w:after="20" w:line="240" w:lineRule="auto"/>
            </w:pPr>
            <w:r/>
          </w:p>
        </w:tc>
        <w:tc>
          <w:tcPr>
            <w:tcW w:type="dxa" w:w="2880"/>
          </w:tcPr>
          <w:p>
            <w:pPr>
              <w:spacing w:after="20" w:line="240" w:lineRule="auto"/>
            </w:pPr>
            <w:r/>
          </w:p>
        </w:tc>
        <w:tc>
          <w:tcPr>
            <w:tcW w:type="dxa" w:w="2592"/>
          </w:tcPr>
          <w:p>
            <w:pPr>
              <w:spacing w:after="20" w:line="240" w:lineRule="auto"/>
            </w:pPr>
            <w:r/>
          </w:p>
        </w:tc>
        <w:tc>
          <w:tcPr>
            <w:tcW w:type="dxa" w:w="1728"/>
          </w:tcPr>
          <w:p>
            <w:pPr>
              <w:spacing w:after="20" w:line="240" w:lineRule="auto"/>
            </w:pPr>
            <w:r/>
          </w:p>
        </w:tc>
      </w:tr>
      <w:tr>
        <w:trPr>
          <w:cantSplit w:val="true"/>
          <w:trHeight w:val="461" w:hRule="atLeast"/>
        </w:trPr>
        <w:tc>
          <w:tcPr>
            <w:tcW w:type="dxa" w:w="1152"/>
          </w:tcPr>
          <w:p>
            <w:pPr>
              <w:spacing w:after="20" w:line="240" w:lineRule="auto"/>
            </w:pPr>
            <w:r/>
          </w:p>
        </w:tc>
        <w:tc>
          <w:tcPr>
            <w:tcW w:type="dxa" w:w="1008"/>
          </w:tcPr>
          <w:p>
            <w:pPr>
              <w:spacing w:after="20" w:line="240" w:lineRule="auto"/>
            </w:pPr>
            <w:r/>
          </w:p>
        </w:tc>
        <w:tc>
          <w:tcPr>
            <w:tcW w:type="dxa" w:w="2880"/>
          </w:tcPr>
          <w:p>
            <w:pPr>
              <w:spacing w:after="20" w:line="240" w:lineRule="auto"/>
            </w:pPr>
            <w:r/>
          </w:p>
        </w:tc>
        <w:tc>
          <w:tcPr>
            <w:tcW w:type="dxa" w:w="2592"/>
          </w:tcPr>
          <w:p>
            <w:pPr>
              <w:spacing w:after="20" w:line="240" w:lineRule="auto"/>
            </w:pPr>
            <w:r/>
          </w:p>
        </w:tc>
        <w:tc>
          <w:tcPr>
            <w:tcW w:type="dxa" w:w="1728"/>
          </w:tcPr>
          <w:p>
            <w:pPr>
              <w:spacing w:after="20" w:line="240" w:lineRule="auto"/>
            </w:pPr>
            <w:r/>
          </w:p>
        </w:tc>
      </w:tr>
    </w:tbl>
    <w:p>
      <w:pPr>
        <w:spacing w:after="0" w:before="0" w:line="80" w:lineRule="exact"/>
      </w:pPr>
      <w:r>
        <w:rPr>
          <w:sz w:val="8"/>
        </w:rPr>
      </w:r>
    </w:p>
    <w:p>
      <w:pPr>
        <w:pStyle w:val="Heading1"/>
      </w:pPr>
      <w:r>
        <w:t>Part 4 — CAPA for the signal process itself</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592"/>
        <w:gridCol w:w="3168"/>
        <w:gridCol w:w="1584"/>
        <w:gridCol w:w="2015"/>
      </w:tblGrid>
      <w:tr>
        <w:trPr>
          <w:tblHeader w:val="true"/>
          <w:cantSplit w:val="true"/>
        </w:trPr>
        <w:tc>
          <w:tcPr>
            <w:tcW w:type="dxa" w:w="2592"/>
            <w:shd w:val="clear" w:color="auto" w:fill="17375E"/>
            <w:vAlign w:val="center"/>
          </w:tcPr>
          <w:p>
            <w:pPr>
              <w:spacing w:after="20" w:line="240" w:lineRule="auto"/>
            </w:pPr>
            <w:r>
              <w:rPr>
                <w:b/>
              </w:rPr>
            </w:r>
            <w:r>
              <w:rPr>
                <w:b/>
                <w:color w:val="FFFFFF"/>
                <w:sz w:val="18"/>
              </w:rPr>
              <w:t>CAPA element</w:t>
            </w:r>
          </w:p>
        </w:tc>
        <w:tc>
          <w:tcPr>
            <w:tcW w:type="dxa" w:w="3168"/>
            <w:shd w:val="clear" w:color="auto" w:fill="17375E"/>
            <w:vAlign w:val="center"/>
          </w:tcPr>
          <w:p>
            <w:pPr>
              <w:spacing w:after="20" w:line="240" w:lineRule="auto"/>
            </w:pPr>
            <w:r>
              <w:rPr>
                <w:b/>
              </w:rPr>
            </w:r>
            <w:r>
              <w:rPr>
                <w:b/>
                <w:color w:val="FFFFFF"/>
                <w:sz w:val="18"/>
              </w:rPr>
              <w:t>Action</w:t>
            </w:r>
          </w:p>
        </w:tc>
        <w:tc>
          <w:tcPr>
            <w:tcW w:type="dxa" w:w="1584"/>
            <w:shd w:val="clear" w:color="auto" w:fill="17375E"/>
            <w:vAlign w:val="center"/>
          </w:tcPr>
          <w:p>
            <w:pPr>
              <w:spacing w:after="20" w:line="240" w:lineRule="auto"/>
            </w:pPr>
            <w:r>
              <w:rPr>
                <w:b/>
              </w:rPr>
            </w:r>
            <w:r>
              <w:rPr>
                <w:b/>
                <w:color w:val="FFFFFF"/>
                <w:sz w:val="18"/>
              </w:rPr>
              <w:t>Owner</w:t>
            </w:r>
          </w:p>
        </w:tc>
        <w:tc>
          <w:tcPr>
            <w:tcW w:type="dxa" w:w="2016"/>
            <w:shd w:val="clear" w:color="auto" w:fill="17375E"/>
            <w:vAlign w:val="center"/>
          </w:tcPr>
          <w:p>
            <w:pPr>
              <w:spacing w:after="20" w:line="240" w:lineRule="auto"/>
            </w:pPr>
            <w:r>
              <w:rPr>
                <w:b/>
              </w:rPr>
            </w:r>
            <w:r>
              <w:rPr>
                <w:b/>
                <w:color w:val="FFFFFF"/>
                <w:sz w:val="18"/>
              </w:rPr>
              <w:t>Evidence</w:t>
            </w:r>
          </w:p>
        </w:tc>
      </w:tr>
      <w:tr>
        <w:trPr>
          <w:cantSplit w:val="true"/>
        </w:trPr>
        <w:tc>
          <w:tcPr>
            <w:tcW w:type="dxa" w:w="2592"/>
            <w:shd w:val="clear" w:color="auto" w:fill="DCE6F1"/>
          </w:tcPr>
          <w:p>
            <w:pPr>
              <w:spacing w:after="20" w:line="240" w:lineRule="auto"/>
            </w:pPr>
            <w:r>
              <w:rPr>
                <w:b/>
              </w:rPr>
            </w:r>
            <w:r>
              <w:rPr>
                <w:b/>
                <w:sz w:val="18"/>
              </w:rPr>
              <w:t>Correction</w:t>
            </w:r>
          </w:p>
        </w:tc>
        <w:tc>
          <w:tcPr>
            <w:tcW w:type="dxa" w:w="3168"/>
          </w:tcPr>
          <w:p>
            <w:pPr>
              <w:spacing w:after="20" w:line="240" w:lineRule="auto"/>
            </w:pPr>
            <w:r/>
          </w:p>
        </w:tc>
        <w:tc>
          <w:tcPr>
            <w:tcW w:type="dxa" w:w="1584"/>
          </w:tcPr>
          <w:p>
            <w:pPr>
              <w:spacing w:after="20" w:line="240" w:lineRule="auto"/>
            </w:pPr>
            <w:r/>
          </w:p>
        </w:tc>
        <w:tc>
          <w:tcPr>
            <w:tcW w:type="dxa" w:w="2016"/>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System fix</w:t>
            </w:r>
          </w:p>
        </w:tc>
        <w:tc>
          <w:tcPr>
            <w:tcW w:type="dxa" w:w="3168"/>
          </w:tcPr>
          <w:p>
            <w:pPr>
              <w:spacing w:after="20" w:line="240" w:lineRule="auto"/>
            </w:pPr>
            <w:r/>
          </w:p>
        </w:tc>
        <w:tc>
          <w:tcPr>
            <w:tcW w:type="dxa" w:w="1584"/>
          </w:tcPr>
          <w:p>
            <w:pPr>
              <w:spacing w:after="20" w:line="240" w:lineRule="auto"/>
            </w:pPr>
            <w:r/>
          </w:p>
        </w:tc>
        <w:tc>
          <w:tcPr>
            <w:tcW w:type="dxa" w:w="2016"/>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Second review</w:t>
            </w:r>
          </w:p>
        </w:tc>
        <w:tc>
          <w:tcPr>
            <w:tcW w:type="dxa" w:w="3168"/>
          </w:tcPr>
          <w:p>
            <w:pPr>
              <w:spacing w:after="20" w:line="240" w:lineRule="auto"/>
            </w:pPr>
            <w:r/>
          </w:p>
        </w:tc>
        <w:tc>
          <w:tcPr>
            <w:tcW w:type="dxa" w:w="1584"/>
          </w:tcPr>
          <w:p>
            <w:pPr>
              <w:spacing w:after="20" w:line="240" w:lineRule="auto"/>
            </w:pPr>
            <w:r/>
          </w:p>
        </w:tc>
        <w:tc>
          <w:tcPr>
            <w:tcW w:type="dxa" w:w="2016"/>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Retrospective scope (look-back)</w:t>
            </w:r>
          </w:p>
        </w:tc>
        <w:tc>
          <w:tcPr>
            <w:tcW w:type="dxa" w:w="3168"/>
          </w:tcPr>
          <w:p>
            <w:pPr>
              <w:spacing w:after="20" w:line="240" w:lineRule="auto"/>
            </w:pPr>
            <w:r/>
          </w:p>
        </w:tc>
        <w:tc>
          <w:tcPr>
            <w:tcW w:type="dxa" w:w="1584"/>
          </w:tcPr>
          <w:p>
            <w:pPr>
              <w:spacing w:after="20" w:line="240" w:lineRule="auto"/>
            </w:pPr>
            <w:r/>
          </w:p>
        </w:tc>
        <w:tc>
          <w:tcPr>
            <w:tcW w:type="dxa" w:w="2016"/>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Effectiveness (criterion written before sampling)</w:t>
            </w:r>
          </w:p>
        </w:tc>
        <w:tc>
          <w:tcPr>
            <w:tcW w:type="dxa" w:w="3168"/>
          </w:tcPr>
          <w:p>
            <w:pPr>
              <w:spacing w:after="20" w:line="240" w:lineRule="auto"/>
            </w:pPr>
            <w:r/>
          </w:p>
        </w:tc>
        <w:tc>
          <w:tcPr>
            <w:tcW w:type="dxa" w:w="1584"/>
          </w:tcPr>
          <w:p>
            <w:pPr>
              <w:spacing w:after="20" w:line="240" w:lineRule="auto"/>
            </w:pPr>
            <w:r/>
          </w:p>
        </w:tc>
        <w:tc>
          <w:tcPr>
            <w:tcW w:type="dxa" w:w="2016"/>
          </w:tcPr>
          <w:p>
            <w:pPr>
              <w:spacing w:after="20" w:line="240" w:lineRule="auto"/>
            </w:pPr>
            <w:r/>
          </w:p>
        </w:tc>
      </w:tr>
    </w:tbl>
    <w:p>
      <w:pPr>
        <w:spacing w:after="0" w:before="0" w:line="80" w:lineRule="exact"/>
      </w:pPr>
      <w:r>
        <w:rPr>
          <w:sz w:val="8"/>
        </w:rPr>
      </w:r>
    </w:p>
    <w:p>
      <w:pPr>
        <w:pStyle w:val="Heading3"/>
      </w:pPr>
      <w:r>
        <w:t>Review</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2592"/>
        <w:gridCol w:w="2304"/>
        <w:gridCol w:w="1296"/>
      </w:tblGrid>
      <w:tr>
        <w:trPr>
          <w:tblHeader w:val="true"/>
          <w:cantSplit w:val="true"/>
        </w:trPr>
        <w:tc>
          <w:tcPr>
            <w:tcW w:type="dxa" w:w="3168"/>
            <w:shd w:val="clear" w:color="auto" w:fill="17375E"/>
            <w:vAlign w:val="center"/>
          </w:tcPr>
          <w:p>
            <w:pPr>
              <w:spacing w:after="20" w:line="240" w:lineRule="auto"/>
            </w:pPr>
            <w:r>
              <w:rPr>
                <w:b/>
              </w:rPr>
            </w:r>
            <w:r>
              <w:rPr>
                <w:b/>
                <w:color w:val="FFFFFF"/>
                <w:sz w:val="18"/>
              </w:rPr>
              <w:t>Role</w:t>
            </w:r>
          </w:p>
        </w:tc>
        <w:tc>
          <w:tcPr>
            <w:tcW w:type="dxa" w:w="2592"/>
            <w:shd w:val="clear" w:color="auto" w:fill="17375E"/>
            <w:vAlign w:val="center"/>
          </w:tcPr>
          <w:p>
            <w:pPr>
              <w:spacing w:after="20" w:line="240" w:lineRule="auto"/>
            </w:pPr>
            <w:r>
              <w:rPr>
                <w:b/>
              </w:rPr>
            </w:r>
            <w:r>
              <w:rPr>
                <w:b/>
                <w:color w:val="FFFFFF"/>
                <w:sz w:val="18"/>
              </w:rPr>
              <w:t>Name</w:t>
            </w:r>
          </w:p>
        </w:tc>
        <w:tc>
          <w:tcPr>
            <w:tcW w:type="dxa" w:w="2304"/>
            <w:shd w:val="clear" w:color="auto" w:fill="17375E"/>
            <w:vAlign w:val="center"/>
          </w:tcPr>
          <w:p>
            <w:pPr>
              <w:spacing w:after="20" w:line="240" w:lineRule="auto"/>
            </w:pPr>
            <w:r>
              <w:rPr>
                <w:b/>
              </w:rPr>
            </w:r>
            <w:r>
              <w:rPr>
                <w:b/>
                <w:color w:val="FFFFFF"/>
                <w:sz w:val="18"/>
              </w:rPr>
              <w:t>Signature</w:t>
            </w:r>
          </w:p>
        </w:tc>
        <w:tc>
          <w:tcPr>
            <w:tcW w:type="dxa" w:w="1296"/>
            <w:shd w:val="clear" w:color="auto" w:fill="17375E"/>
            <w:vAlign w:val="center"/>
          </w:tcPr>
          <w:p>
            <w:pPr>
              <w:spacing w:after="20" w:line="240" w:lineRule="auto"/>
            </w:pPr>
            <w:r>
              <w:rPr>
                <w:b/>
              </w:rPr>
            </w:r>
            <w:r>
              <w:rPr>
                <w:b/>
                <w:color w:val="FFFFFF"/>
                <w:sz w:val="18"/>
              </w:rPr>
              <w:t>Date</w:t>
            </w:r>
          </w:p>
        </w:tc>
      </w:tr>
      <w:tr>
        <w:trPr>
          <w:cantSplit w:val="true"/>
        </w:trPr>
        <w:tc>
          <w:tcPr>
            <w:tcW w:type="dxa" w:w="3168"/>
            <w:shd w:val="clear" w:color="auto" w:fill="DCE6F1"/>
          </w:tcPr>
          <w:p>
            <w:pPr>
              <w:spacing w:after="20" w:line="240" w:lineRule="auto"/>
            </w:pPr>
            <w:r>
              <w:rPr>
                <w:b/>
              </w:rPr>
            </w:r>
            <w:r>
              <w:rPr>
                <w:b/>
                <w:sz w:val="18"/>
              </w:rPr>
              <w:t>Internal audit lead</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Vigilance lead</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Quality/CAPA owner</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bl>
    <w:p>
      <w:pPr>
        <w:spacing w:after="0" w:before="0" w:line="80" w:lineRule="exact"/>
      </w:pPr>
      <w:r>
        <w:rPr>
          <w:sz w:val="8"/>
        </w:rPr>
      </w:r>
    </w:p>
    <w:p>
      <w:pPr>
        <w:pStyle w:val="Heading1"/>
        <w:pageBreakBefore/>
      </w:pPr>
      <w:r>
        <w:t>Example (fictional case)</w:t>
      </w:r>
    </w:p>
    <w:p>
      <w:r>
        <w:rPr>
          <w:b w:val="0"/>
          <w:i/>
          <w:color w:val="595959"/>
          <w:sz w:val="18"/>
        </w:rPr>
        <w:t>All names, numbers and events below are fictional composites from the book's case dossiers. They show the expected level of detail, not a regulatory standard. Neoflo central venous catheter: inspection in Year 5 found 140 complaints closed as "no MDR required" without a written rationale, 11 of which described patient injury. Mock audit after the CAPA.</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880"/>
        <w:gridCol w:w="2015"/>
        <w:gridCol w:w="1728"/>
        <w:gridCol w:w="1440"/>
        <w:gridCol w:w="1296"/>
      </w:tblGrid>
      <w:tr>
        <w:trPr>
          <w:tblHeader w:val="true"/>
          <w:cantSplit w:val="true"/>
        </w:trPr>
        <w:tc>
          <w:tcPr>
            <w:tcW w:type="dxa" w:w="2880"/>
            <w:shd w:val="clear" w:color="auto" w:fill="17375E"/>
            <w:vAlign w:val="center"/>
          </w:tcPr>
          <w:p>
            <w:pPr>
              <w:spacing w:after="20" w:line="240" w:lineRule="auto"/>
            </w:pPr>
            <w:r>
              <w:rPr>
                <w:b/>
              </w:rPr>
            </w:r>
            <w:r>
              <w:rPr>
                <w:b/>
                <w:color w:val="FFFFFF"/>
                <w:sz w:val="17"/>
              </w:rPr>
              <w:t>Test</w:t>
            </w:r>
          </w:p>
        </w:tc>
        <w:tc>
          <w:tcPr>
            <w:tcW w:type="dxa" w:w="2016"/>
            <w:shd w:val="clear" w:color="auto" w:fill="17375E"/>
            <w:vAlign w:val="center"/>
          </w:tcPr>
          <w:p>
            <w:pPr>
              <w:spacing w:after="20" w:line="240" w:lineRule="auto"/>
            </w:pPr>
            <w:r>
              <w:rPr>
                <w:b/>
              </w:rPr>
            </w:r>
            <w:r>
              <w:rPr>
                <w:b/>
                <w:color w:val="FFFFFF"/>
                <w:sz w:val="17"/>
              </w:rPr>
              <w:t>Source requirement</w:t>
            </w:r>
          </w:p>
        </w:tc>
        <w:tc>
          <w:tcPr>
            <w:tcW w:type="dxa" w:w="1728"/>
            <w:shd w:val="clear" w:color="auto" w:fill="17375E"/>
            <w:vAlign w:val="center"/>
          </w:tcPr>
          <w:p>
            <w:pPr>
              <w:spacing w:after="20" w:line="240" w:lineRule="auto"/>
            </w:pPr>
            <w:r>
              <w:rPr>
                <w:b/>
              </w:rPr>
            </w:r>
            <w:r>
              <w:rPr>
                <w:b/>
                <w:color w:val="FFFFFF"/>
                <w:sz w:val="17"/>
              </w:rPr>
              <w:t>Evidence to pull</w:t>
            </w:r>
          </w:p>
        </w:tc>
        <w:tc>
          <w:tcPr>
            <w:tcW w:type="dxa" w:w="1440"/>
            <w:shd w:val="clear" w:color="auto" w:fill="17375E"/>
            <w:vAlign w:val="center"/>
          </w:tcPr>
          <w:p>
            <w:pPr>
              <w:spacing w:after="20" w:line="240" w:lineRule="auto"/>
            </w:pPr>
            <w:r>
              <w:rPr>
                <w:b/>
              </w:rPr>
            </w:r>
            <w:r>
              <w:rPr>
                <w:b/>
                <w:color w:val="FFFFFF"/>
                <w:sz w:val="17"/>
              </w:rPr>
              <w:t>Last result</w:t>
            </w:r>
          </w:p>
        </w:tc>
        <w:tc>
          <w:tcPr>
            <w:tcW w:type="dxa" w:w="1296"/>
            <w:shd w:val="clear" w:color="auto" w:fill="17375E"/>
            <w:vAlign w:val="center"/>
          </w:tcPr>
          <w:p>
            <w:pPr>
              <w:spacing w:after="20" w:line="240" w:lineRule="auto"/>
            </w:pPr>
            <w:r>
              <w:rPr>
                <w:b/>
              </w:rPr>
            </w:r>
            <w:r>
              <w:rPr>
                <w:b/>
                <w:color w:val="FFFFFF"/>
                <w:sz w:val="17"/>
              </w:rPr>
              <w:t>Owner</w:t>
            </w:r>
          </w:p>
        </w:tc>
      </w:tr>
      <w:tr>
        <w:trPr>
          <w:cantSplit w:val="true"/>
        </w:trPr>
        <w:tc>
          <w:tcPr>
            <w:tcW w:type="dxa" w:w="2880"/>
            <w:shd w:val="clear" w:color="auto" w:fill="DCE6F1"/>
          </w:tcPr>
          <w:p>
            <w:pPr>
              <w:spacing w:after="20" w:line="240" w:lineRule="auto"/>
            </w:pPr>
            <w:r>
              <w:rPr>
                <w:b/>
              </w:rPr>
            </w:r>
            <w:r>
              <w:rPr>
                <w:b/>
                <w:sz w:val="17"/>
              </w:rPr>
              <w:t>Every closed complaint has a reportability decision with reason</w:t>
            </w:r>
          </w:p>
        </w:tc>
        <w:tc>
          <w:tcPr>
            <w:tcW w:type="dxa" w:w="2016"/>
          </w:tcPr>
          <w:p>
            <w:pPr>
              <w:spacing w:after="20" w:line="240" w:lineRule="auto"/>
            </w:pPr>
            <w:r/>
            <w:r>
              <w:rPr>
                <w:b w:val="0"/>
                <w:sz w:val="17"/>
              </w:rPr>
              <w:t>ISO 13485 8.2.2; 21 CFR 820.35; 803.18</w:t>
            </w:r>
          </w:p>
        </w:tc>
        <w:tc>
          <w:tcPr>
            <w:tcW w:type="dxa" w:w="1728"/>
          </w:tcPr>
          <w:p>
            <w:pPr>
              <w:spacing w:after="20" w:line="240" w:lineRule="auto"/>
            </w:pPr>
            <w:r/>
            <w:r>
              <w:rPr>
                <w:b w:val="0"/>
                <w:sz w:val="17"/>
              </w:rPr>
              <w:t>Sample of closed complaints</w:t>
            </w:r>
          </w:p>
        </w:tc>
        <w:tc>
          <w:tcPr>
            <w:tcW w:type="dxa" w:w="1440"/>
          </w:tcPr>
          <w:p>
            <w:pPr>
              <w:spacing w:after="20" w:line="240" w:lineRule="auto"/>
            </w:pPr>
            <w:r/>
            <w:r>
              <w:rPr>
                <w:b w:val="0"/>
                <w:sz w:val="17"/>
              </w:rPr>
              <w:t>Pass after CAPA</w:t>
            </w:r>
          </w:p>
        </w:tc>
        <w:tc>
          <w:tcPr>
            <w:tcW w:type="dxa" w:w="1296"/>
          </w:tcPr>
          <w:p>
            <w:pPr>
              <w:spacing w:after="20" w:line="240" w:lineRule="auto"/>
            </w:pPr>
            <w:r/>
            <w:r>
              <w:rPr>
                <w:b w:val="0"/>
                <w:sz w:val="17"/>
              </w:rPr>
              <w:t>Complaint-handling lead</w:t>
            </w:r>
          </w:p>
        </w:tc>
      </w:tr>
      <w:tr>
        <w:trPr>
          <w:cantSplit w:val="true"/>
        </w:trPr>
        <w:tc>
          <w:tcPr>
            <w:tcW w:type="dxa" w:w="2880"/>
            <w:shd w:val="clear" w:color="auto" w:fill="DCE6F1"/>
          </w:tcPr>
          <w:p>
            <w:pPr>
              <w:spacing w:after="20" w:line="240" w:lineRule="auto"/>
            </w:pPr>
            <w:r>
              <w:rPr>
                <w:b/>
              </w:rPr>
            </w:r>
            <w:r>
              <w:rPr>
                <w:b/>
                <w:sz w:val="17"/>
              </w:rPr>
              <w:t>Trend analysis run as the PMS plan specifies</w:t>
            </w:r>
          </w:p>
        </w:tc>
        <w:tc>
          <w:tcPr>
            <w:tcW w:type="dxa" w:w="2016"/>
          </w:tcPr>
          <w:p>
            <w:pPr>
              <w:spacing w:after="20" w:line="240" w:lineRule="auto"/>
            </w:pPr>
            <w:r/>
            <w:r>
              <w:rPr>
                <w:b w:val="0"/>
                <w:sz w:val="17"/>
              </w:rPr>
              <w:t>MDR Art 84, Annex III</w:t>
            </w:r>
          </w:p>
        </w:tc>
        <w:tc>
          <w:tcPr>
            <w:tcW w:type="dxa" w:w="1728"/>
          </w:tcPr>
          <w:p>
            <w:pPr>
              <w:spacing w:after="20" w:line="240" w:lineRule="auto"/>
            </w:pPr>
            <w:r/>
            <w:r>
              <w:rPr>
                <w:b w:val="0"/>
                <w:sz w:val="17"/>
              </w:rPr>
              <w:t>Trend reports vs plan schedule</w:t>
            </w:r>
          </w:p>
        </w:tc>
        <w:tc>
          <w:tcPr>
            <w:tcW w:type="dxa" w:w="1440"/>
          </w:tcPr>
          <w:p>
            <w:pPr>
              <w:spacing w:after="20" w:line="240" w:lineRule="auto"/>
            </w:pPr>
            <w:r/>
            <w:r>
              <w:rPr>
                <w:b w:val="0"/>
                <w:sz w:val="17"/>
              </w:rPr>
              <w:t>Pass</w:t>
            </w:r>
          </w:p>
        </w:tc>
        <w:tc>
          <w:tcPr>
            <w:tcW w:type="dxa" w:w="1296"/>
          </w:tcPr>
          <w:p>
            <w:pPr>
              <w:spacing w:after="20" w:line="240" w:lineRule="auto"/>
            </w:pPr>
            <w:r/>
            <w:r>
              <w:rPr>
                <w:b w:val="0"/>
                <w:sz w:val="17"/>
              </w:rPr>
              <w:t>Vigilance lead</w:t>
            </w:r>
          </w:p>
        </w:tc>
      </w:tr>
      <w:tr>
        <w:trPr>
          <w:cantSplit w:val="true"/>
        </w:trPr>
        <w:tc>
          <w:tcPr>
            <w:tcW w:type="dxa" w:w="2880"/>
            <w:shd w:val="clear" w:color="auto" w:fill="DCE6F1"/>
          </w:tcPr>
          <w:p>
            <w:pPr>
              <w:spacing w:after="20" w:line="240" w:lineRule="auto"/>
            </w:pPr>
            <w:r>
              <w:rPr>
                <w:b/>
              </w:rPr>
            </w:r>
            <w:r>
              <w:rPr>
                <w:b/>
                <w:sz w:val="17"/>
              </w:rPr>
              <w:t>Coding uses IMDRF terms on separate problem and health-effect axes</w:t>
            </w:r>
          </w:p>
        </w:tc>
        <w:tc>
          <w:tcPr>
            <w:tcW w:type="dxa" w:w="2016"/>
          </w:tcPr>
          <w:p>
            <w:pPr>
              <w:spacing w:after="20" w:line="240" w:lineRule="auto"/>
            </w:pPr>
            <w:r/>
            <w:r>
              <w:rPr>
                <w:b w:val="0"/>
                <w:sz w:val="17"/>
              </w:rPr>
              <w:t>Company SOP</w:t>
            </w:r>
          </w:p>
        </w:tc>
        <w:tc>
          <w:tcPr>
            <w:tcW w:type="dxa" w:w="1728"/>
          </w:tcPr>
          <w:p>
            <w:pPr>
              <w:spacing w:after="20" w:line="240" w:lineRule="auto"/>
            </w:pPr>
            <w:r/>
            <w:r>
              <w:rPr>
                <w:b w:val="0"/>
                <w:sz w:val="17"/>
              </w:rPr>
              <w:t>Coding QC log</w:t>
            </w:r>
          </w:p>
        </w:tc>
        <w:tc>
          <w:tcPr>
            <w:tcW w:type="dxa" w:w="1440"/>
          </w:tcPr>
          <w:p>
            <w:pPr>
              <w:spacing w:after="20" w:line="240" w:lineRule="auto"/>
            </w:pPr>
            <w:r/>
            <w:r>
              <w:rPr>
                <w:b w:val="0"/>
                <w:sz w:val="17"/>
              </w:rPr>
              <w:t>Partial: some product lines lag</w:t>
            </w:r>
          </w:p>
        </w:tc>
        <w:tc>
          <w:tcPr>
            <w:tcW w:type="dxa" w:w="1296"/>
          </w:tcPr>
          <w:p>
            <w:pPr>
              <w:spacing w:after="20" w:line="240" w:lineRule="auto"/>
            </w:pPr>
            <w:r/>
            <w:r>
              <w:rPr>
                <w:b w:val="0"/>
                <w:sz w:val="17"/>
              </w:rPr>
              <w:t>PMS analyst</w:t>
            </w:r>
          </w:p>
        </w:tc>
      </w:tr>
      <w:tr>
        <w:trPr>
          <w:cantSplit w:val="true"/>
        </w:trPr>
        <w:tc>
          <w:tcPr>
            <w:tcW w:type="dxa" w:w="2880"/>
            <w:shd w:val="clear" w:color="auto" w:fill="DCE6F1"/>
          </w:tcPr>
          <w:p>
            <w:pPr>
              <w:spacing w:after="20" w:line="240" w:lineRule="auto"/>
            </w:pPr>
            <w:r>
              <w:rPr>
                <w:b/>
              </w:rPr>
            </w:r>
            <w:r>
              <w:rPr>
                <w:b/>
                <w:sz w:val="17"/>
              </w:rPr>
              <w:t>Supplier change notification in quality agreements</w:t>
            </w:r>
          </w:p>
        </w:tc>
        <w:tc>
          <w:tcPr>
            <w:tcW w:type="dxa" w:w="2016"/>
          </w:tcPr>
          <w:p>
            <w:pPr>
              <w:spacing w:after="20" w:line="240" w:lineRule="auto"/>
            </w:pPr>
            <w:r/>
            <w:r>
              <w:rPr>
                <w:b w:val="0"/>
                <w:sz w:val="17"/>
              </w:rPr>
              <w:t>ISO 13485 purchasing controls</w:t>
            </w:r>
          </w:p>
        </w:tc>
        <w:tc>
          <w:tcPr>
            <w:tcW w:type="dxa" w:w="1728"/>
          </w:tcPr>
          <w:p>
            <w:pPr>
              <w:spacing w:after="20" w:line="240" w:lineRule="auto"/>
            </w:pPr>
            <w:r/>
            <w:r>
              <w:rPr>
                <w:b w:val="0"/>
                <w:sz w:val="17"/>
              </w:rPr>
              <w:t>Agreement register</w:t>
            </w:r>
          </w:p>
        </w:tc>
        <w:tc>
          <w:tcPr>
            <w:tcW w:type="dxa" w:w="1440"/>
          </w:tcPr>
          <w:p>
            <w:pPr>
              <w:spacing w:after="20" w:line="240" w:lineRule="auto"/>
            </w:pPr>
            <w:r/>
            <w:r>
              <w:rPr>
                <w:b w:val="0"/>
                <w:sz w:val="17"/>
              </w:rPr>
              <w:t>Pass after update</w:t>
            </w:r>
          </w:p>
        </w:tc>
        <w:tc>
          <w:tcPr>
            <w:tcW w:type="dxa" w:w="1296"/>
          </w:tcPr>
          <w:p>
            <w:pPr>
              <w:spacing w:after="20" w:line="240" w:lineRule="auto"/>
            </w:pPr>
            <w:r/>
            <w:r>
              <w:rPr>
                <w:b w:val="0"/>
                <w:sz w:val="17"/>
              </w:rPr>
              <w:t>Supplier quality</w:t>
            </w:r>
          </w:p>
        </w:tc>
      </w:tr>
      <w:tr>
        <w:trPr>
          <w:cantSplit w:val="true"/>
        </w:trPr>
        <w:tc>
          <w:tcPr>
            <w:tcW w:type="dxa" w:w="2880"/>
            <w:shd w:val="clear" w:color="auto" w:fill="DCE6F1"/>
          </w:tcPr>
          <w:p>
            <w:pPr>
              <w:spacing w:after="20" w:line="240" w:lineRule="auto"/>
            </w:pPr>
            <w:r>
              <w:rPr>
                <w:b/>
              </w:rPr>
            </w:r>
            <w:r>
              <w:rPr>
                <w:b/>
                <w:sz w:val="17"/>
              </w:rPr>
              <w:t>Signal process CAPA includes a look-back</w:t>
            </w:r>
          </w:p>
        </w:tc>
        <w:tc>
          <w:tcPr>
            <w:tcW w:type="dxa" w:w="2016"/>
          </w:tcPr>
          <w:p>
            <w:pPr>
              <w:spacing w:after="20" w:line="240" w:lineRule="auto"/>
            </w:pPr>
            <w:r/>
            <w:r>
              <w:rPr>
                <w:b w:val="0"/>
                <w:sz w:val="17"/>
              </w:rPr>
              <w:t>ISO 13485 8.5.2</w:t>
            </w:r>
          </w:p>
        </w:tc>
        <w:tc>
          <w:tcPr>
            <w:tcW w:type="dxa" w:w="1728"/>
          </w:tcPr>
          <w:p>
            <w:pPr>
              <w:spacing w:after="20" w:line="240" w:lineRule="auto"/>
            </w:pPr>
            <w:r/>
            <w:r>
              <w:rPr>
                <w:b w:val="0"/>
                <w:sz w:val="17"/>
              </w:rPr>
              <w:t>CAPA file</w:t>
            </w:r>
          </w:p>
        </w:tc>
        <w:tc>
          <w:tcPr>
            <w:tcW w:type="dxa" w:w="1440"/>
          </w:tcPr>
          <w:p>
            <w:pPr>
              <w:spacing w:after="20" w:line="240" w:lineRule="auto"/>
            </w:pPr>
            <w:r/>
            <w:r>
              <w:rPr>
                <w:b w:val="0"/>
                <w:sz w:val="17"/>
              </w:rPr>
              <w:t>Pass</w:t>
            </w:r>
          </w:p>
        </w:tc>
        <w:tc>
          <w:tcPr>
            <w:tcW w:type="dxa" w:w="1296"/>
          </w:tcPr>
          <w:p>
            <w:pPr>
              <w:spacing w:after="20" w:line="240" w:lineRule="auto"/>
            </w:pPr>
            <w:r/>
            <w:r>
              <w:rPr>
                <w:b w:val="0"/>
                <w:sz w:val="17"/>
              </w:rPr>
              <w:t>Quality/CAPA owner</w:t>
            </w:r>
          </w:p>
        </w:tc>
      </w:tr>
    </w:tbl>
    <w:p>
      <w:pPr>
        <w:spacing w:after="160"/>
      </w:pPr>
      <w:r>
        <w:rPr>
          <w:i/>
          <w:color w:val="595959"/>
          <w:sz w:val="17"/>
        </w:rPr>
        <w:t>Table 25.2 — Extract from Tool T-23, completed during the Neoflo mock audit.</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728"/>
        <w:gridCol w:w="3600"/>
        <w:gridCol w:w="1872"/>
        <w:gridCol w:w="2160"/>
      </w:tblGrid>
      <w:tr>
        <w:trPr>
          <w:tblHeader w:val="true"/>
          <w:cantSplit w:val="true"/>
        </w:trPr>
        <w:tc>
          <w:tcPr>
            <w:tcW w:type="dxa" w:w="1728"/>
            <w:shd w:val="clear" w:color="auto" w:fill="17375E"/>
            <w:vAlign w:val="center"/>
          </w:tcPr>
          <w:p>
            <w:pPr>
              <w:spacing w:after="20" w:line="240" w:lineRule="auto"/>
            </w:pPr>
            <w:r>
              <w:rPr>
                <w:b/>
              </w:rPr>
            </w:r>
            <w:r>
              <w:rPr>
                <w:b/>
                <w:color w:val="FFFFFF"/>
                <w:sz w:val="17"/>
              </w:rPr>
              <w:t>CAPA element</w:t>
            </w:r>
          </w:p>
        </w:tc>
        <w:tc>
          <w:tcPr>
            <w:tcW w:type="dxa" w:w="3600"/>
            <w:shd w:val="clear" w:color="auto" w:fill="17375E"/>
            <w:vAlign w:val="center"/>
          </w:tcPr>
          <w:p>
            <w:pPr>
              <w:spacing w:after="20" w:line="240" w:lineRule="auto"/>
            </w:pPr>
            <w:r>
              <w:rPr>
                <w:b/>
              </w:rPr>
            </w:r>
            <w:r>
              <w:rPr>
                <w:b/>
                <w:color w:val="FFFFFF"/>
                <w:sz w:val="17"/>
              </w:rPr>
              <w:t>Action</w:t>
            </w:r>
          </w:p>
        </w:tc>
        <w:tc>
          <w:tcPr>
            <w:tcW w:type="dxa" w:w="1872"/>
            <w:shd w:val="clear" w:color="auto" w:fill="17375E"/>
            <w:vAlign w:val="center"/>
          </w:tcPr>
          <w:p>
            <w:pPr>
              <w:spacing w:after="20" w:line="240" w:lineRule="auto"/>
            </w:pPr>
            <w:r>
              <w:rPr>
                <w:b/>
              </w:rPr>
            </w:r>
            <w:r>
              <w:rPr>
                <w:b/>
                <w:color w:val="FFFFFF"/>
                <w:sz w:val="17"/>
              </w:rPr>
              <w:t>Owner</w:t>
            </w:r>
          </w:p>
        </w:tc>
        <w:tc>
          <w:tcPr>
            <w:tcW w:type="dxa" w:w="2160"/>
            <w:shd w:val="clear" w:color="auto" w:fill="17375E"/>
            <w:vAlign w:val="center"/>
          </w:tcPr>
          <w:p>
            <w:pPr>
              <w:spacing w:after="20" w:line="240" w:lineRule="auto"/>
            </w:pPr>
            <w:r>
              <w:rPr>
                <w:b/>
              </w:rPr>
            </w:r>
            <w:r>
              <w:rPr>
                <w:b/>
                <w:color w:val="FFFFFF"/>
                <w:sz w:val="17"/>
              </w:rPr>
              <w:t>Evidence</w:t>
            </w:r>
          </w:p>
        </w:tc>
      </w:tr>
      <w:tr>
        <w:trPr>
          <w:cantSplit w:val="true"/>
        </w:trPr>
        <w:tc>
          <w:tcPr>
            <w:tcW w:type="dxa" w:w="1728"/>
            <w:shd w:val="clear" w:color="auto" w:fill="DCE6F1"/>
          </w:tcPr>
          <w:p>
            <w:pPr>
              <w:spacing w:after="20" w:line="240" w:lineRule="auto"/>
            </w:pPr>
            <w:r>
              <w:rPr>
                <w:b/>
              </w:rPr>
            </w:r>
            <w:r>
              <w:rPr>
                <w:b/>
                <w:sz w:val="17"/>
              </w:rPr>
              <w:t>Correction</w:t>
            </w:r>
          </w:p>
        </w:tc>
        <w:tc>
          <w:tcPr>
            <w:tcW w:type="dxa" w:w="3600"/>
          </w:tcPr>
          <w:p>
            <w:pPr>
              <w:spacing w:after="20" w:line="240" w:lineRule="auto"/>
            </w:pPr>
            <w:r/>
            <w:r>
              <w:rPr>
                <w:b w:val="0"/>
                <w:sz w:val="17"/>
              </w:rPr>
              <w:t>Re-decide all 140 files; file any late MDRs</w:t>
            </w:r>
          </w:p>
        </w:tc>
        <w:tc>
          <w:tcPr>
            <w:tcW w:type="dxa" w:w="1872"/>
          </w:tcPr>
          <w:p>
            <w:pPr>
              <w:spacing w:after="20" w:line="240" w:lineRule="auto"/>
            </w:pPr>
            <w:r/>
            <w:r>
              <w:rPr>
                <w:b w:val="0"/>
                <w:sz w:val="17"/>
              </w:rPr>
              <w:t>Vigilance lead</w:t>
            </w:r>
          </w:p>
        </w:tc>
        <w:tc>
          <w:tcPr>
            <w:tcW w:type="dxa" w:w="2160"/>
          </w:tcPr>
          <w:p>
            <w:pPr>
              <w:spacing w:after="20" w:line="240" w:lineRule="auto"/>
            </w:pPr>
            <w:r/>
            <w:r>
              <w:rPr>
                <w:b w:val="0"/>
                <w:sz w:val="17"/>
              </w:rPr>
              <w:t>Review log with rationale per file</w:t>
            </w:r>
          </w:p>
        </w:tc>
      </w:tr>
      <w:tr>
        <w:trPr>
          <w:cantSplit w:val="true"/>
        </w:trPr>
        <w:tc>
          <w:tcPr>
            <w:tcW w:type="dxa" w:w="1728"/>
            <w:shd w:val="clear" w:color="auto" w:fill="DCE6F1"/>
          </w:tcPr>
          <w:p>
            <w:pPr>
              <w:spacing w:after="20" w:line="240" w:lineRule="auto"/>
            </w:pPr>
            <w:r>
              <w:rPr>
                <w:b/>
              </w:rPr>
            </w:r>
            <w:r>
              <w:rPr>
                <w:b/>
                <w:sz w:val="17"/>
              </w:rPr>
              <w:t>System fix</w:t>
            </w:r>
          </w:p>
        </w:tc>
        <w:tc>
          <w:tcPr>
            <w:tcW w:type="dxa" w:w="3600"/>
          </w:tcPr>
          <w:p>
            <w:pPr>
              <w:spacing w:after="20" w:line="240" w:lineRule="auto"/>
            </w:pPr>
            <w:r/>
            <w:r>
              <w:rPr>
                <w:b w:val="0"/>
                <w:sz w:val="17"/>
              </w:rPr>
              <w:t>Mandatory rationale, decision-maker and date fields before closure</w:t>
            </w:r>
          </w:p>
        </w:tc>
        <w:tc>
          <w:tcPr>
            <w:tcW w:type="dxa" w:w="1872"/>
          </w:tcPr>
          <w:p>
            <w:pPr>
              <w:spacing w:after="20" w:line="240" w:lineRule="auto"/>
            </w:pPr>
            <w:r/>
            <w:r>
              <w:rPr>
                <w:b w:val="0"/>
                <w:sz w:val="17"/>
              </w:rPr>
              <w:t>Complaint-handling lead</w:t>
            </w:r>
          </w:p>
        </w:tc>
        <w:tc>
          <w:tcPr>
            <w:tcW w:type="dxa" w:w="2160"/>
          </w:tcPr>
          <w:p>
            <w:pPr>
              <w:spacing w:after="20" w:line="240" w:lineRule="auto"/>
            </w:pPr>
            <w:r/>
            <w:r>
              <w:rPr>
                <w:b w:val="0"/>
                <w:sz w:val="17"/>
              </w:rPr>
              <w:t>Validated system change record</w:t>
            </w:r>
          </w:p>
        </w:tc>
      </w:tr>
      <w:tr>
        <w:trPr>
          <w:cantSplit w:val="true"/>
        </w:trPr>
        <w:tc>
          <w:tcPr>
            <w:tcW w:type="dxa" w:w="1728"/>
            <w:shd w:val="clear" w:color="auto" w:fill="DCE6F1"/>
          </w:tcPr>
          <w:p>
            <w:pPr>
              <w:spacing w:after="20" w:line="240" w:lineRule="auto"/>
            </w:pPr>
            <w:r>
              <w:rPr>
                <w:b/>
              </w:rPr>
            </w:r>
            <w:r>
              <w:rPr>
                <w:b/>
                <w:sz w:val="17"/>
              </w:rPr>
              <w:t>Second review</w:t>
            </w:r>
          </w:p>
        </w:tc>
        <w:tc>
          <w:tcPr>
            <w:tcW w:type="dxa" w:w="3600"/>
          </w:tcPr>
          <w:p>
            <w:pPr>
              <w:spacing w:after="20" w:line="240" w:lineRule="auto"/>
            </w:pPr>
            <w:r/>
            <w:r>
              <w:rPr>
                <w:b w:val="0"/>
                <w:sz w:val="17"/>
              </w:rPr>
              <w:t>Health-effect complaints closed "not reportable" need a second reviewer</w:t>
            </w:r>
          </w:p>
        </w:tc>
        <w:tc>
          <w:tcPr>
            <w:tcW w:type="dxa" w:w="1872"/>
          </w:tcPr>
          <w:p>
            <w:pPr>
              <w:spacing w:after="20" w:line="240" w:lineRule="auto"/>
            </w:pPr>
            <w:r/>
            <w:r>
              <w:rPr>
                <w:b w:val="0"/>
                <w:sz w:val="17"/>
              </w:rPr>
              <w:t>Safety physician</w:t>
            </w:r>
          </w:p>
        </w:tc>
        <w:tc>
          <w:tcPr>
            <w:tcW w:type="dxa" w:w="2160"/>
          </w:tcPr>
          <w:p>
            <w:pPr>
              <w:spacing w:after="20" w:line="240" w:lineRule="auto"/>
            </w:pPr>
            <w:r/>
            <w:r>
              <w:rPr>
                <w:b w:val="0"/>
                <w:sz w:val="17"/>
              </w:rPr>
              <w:t>SOP revision; training records</w:t>
            </w:r>
          </w:p>
        </w:tc>
      </w:tr>
      <w:tr>
        <w:trPr>
          <w:cantSplit w:val="true"/>
        </w:trPr>
        <w:tc>
          <w:tcPr>
            <w:tcW w:type="dxa" w:w="1728"/>
            <w:shd w:val="clear" w:color="auto" w:fill="DCE6F1"/>
          </w:tcPr>
          <w:p>
            <w:pPr>
              <w:spacing w:after="20" w:line="240" w:lineRule="auto"/>
            </w:pPr>
            <w:r>
              <w:rPr>
                <w:b/>
              </w:rPr>
            </w:r>
            <w:r>
              <w:rPr>
                <w:b/>
                <w:sz w:val="17"/>
              </w:rPr>
              <w:t>Retrospective scope</w:t>
            </w:r>
          </w:p>
        </w:tc>
        <w:tc>
          <w:tcPr>
            <w:tcW w:type="dxa" w:w="3600"/>
          </w:tcPr>
          <w:p>
            <w:pPr>
              <w:spacing w:after="20" w:line="240" w:lineRule="auto"/>
            </w:pPr>
            <w:r/>
            <w:r>
              <w:rPr>
                <w:b w:val="0"/>
                <w:sz w:val="17"/>
              </w:rPr>
              <w:t>Extend look-back to other product lines using the same closure path</w:t>
            </w:r>
          </w:p>
        </w:tc>
        <w:tc>
          <w:tcPr>
            <w:tcW w:type="dxa" w:w="1872"/>
          </w:tcPr>
          <w:p>
            <w:pPr>
              <w:spacing w:after="20" w:line="240" w:lineRule="auto"/>
            </w:pPr>
            <w:r/>
            <w:r>
              <w:rPr>
                <w:b w:val="0"/>
                <w:sz w:val="17"/>
              </w:rPr>
              <w:t>Quality/CAPA owner</w:t>
            </w:r>
          </w:p>
        </w:tc>
        <w:tc>
          <w:tcPr>
            <w:tcW w:type="dxa" w:w="2160"/>
          </w:tcPr>
          <w:p>
            <w:pPr>
              <w:spacing w:after="20" w:line="240" w:lineRule="auto"/>
            </w:pPr>
            <w:r/>
            <w:r>
              <w:rPr>
                <w:b w:val="0"/>
                <w:sz w:val="17"/>
              </w:rPr>
              <w:t>Scope memo and results</w:t>
            </w:r>
          </w:p>
        </w:tc>
      </w:tr>
      <w:tr>
        <w:trPr>
          <w:cantSplit w:val="true"/>
        </w:trPr>
        <w:tc>
          <w:tcPr>
            <w:tcW w:type="dxa" w:w="1728"/>
            <w:shd w:val="clear" w:color="auto" w:fill="DCE6F1"/>
          </w:tcPr>
          <w:p>
            <w:pPr>
              <w:spacing w:after="20" w:line="240" w:lineRule="auto"/>
            </w:pPr>
            <w:r>
              <w:rPr>
                <w:b/>
              </w:rPr>
            </w:r>
            <w:r>
              <w:rPr>
                <w:b/>
                <w:sz w:val="17"/>
              </w:rPr>
              <w:t>Effectiveness</w:t>
            </w:r>
          </w:p>
        </w:tc>
        <w:tc>
          <w:tcPr>
            <w:tcW w:type="dxa" w:w="3600"/>
          </w:tcPr>
          <w:p>
            <w:pPr>
              <w:spacing w:after="20" w:line="240" w:lineRule="auto"/>
            </w:pPr>
            <w:r/>
            <w:r>
              <w:rPr>
                <w:b w:val="0"/>
                <w:sz w:val="17"/>
              </w:rPr>
              <w:t>Sample closed complaints on a defined schedule; target: no closure without rationale</w:t>
            </w:r>
          </w:p>
        </w:tc>
        <w:tc>
          <w:tcPr>
            <w:tcW w:type="dxa" w:w="1872"/>
          </w:tcPr>
          <w:p>
            <w:pPr>
              <w:spacing w:after="20" w:line="240" w:lineRule="auto"/>
            </w:pPr>
            <w:r/>
            <w:r>
              <w:rPr>
                <w:b w:val="0"/>
                <w:sz w:val="17"/>
              </w:rPr>
              <w:t>Internal audit</w:t>
            </w:r>
          </w:p>
        </w:tc>
        <w:tc>
          <w:tcPr>
            <w:tcW w:type="dxa" w:w="2160"/>
          </w:tcPr>
          <w:p>
            <w:pPr>
              <w:spacing w:after="20" w:line="240" w:lineRule="auto"/>
            </w:pPr>
            <w:r/>
            <w:r>
              <w:rPr>
                <w:b w:val="0"/>
                <w:sz w:val="17"/>
              </w:rPr>
              <w:t>Sampling plan and results</w:t>
            </w:r>
          </w:p>
        </w:tc>
      </w:tr>
    </w:tbl>
    <w:p>
      <w:pPr>
        <w:spacing w:after="160"/>
      </w:pPr>
      <w:r>
        <w:rPr>
          <w:i/>
          <w:color w:val="595959"/>
          <w:sz w:val="17"/>
        </w:rPr>
        <w:t>Table 25.1 — Complaint-handling CAPA after the Neoflo inspection finding. The effectiveness criterion is company-designed; sample size and frequency are set and justified in the CAPA plan.</w:t>
      </w:r>
    </w:p>
    <w:sectPr w:rsidR="00FC693F" w:rsidRPr="0006063C" w:rsidSect="00034616">
      <w:headerReference w:type="default" r:id="rId9"/>
      <w:footerReference w:type="default" r:id="rId10"/>
      <w:pgSz w:w="12240" w:h="15840"/>
      <w:pgMar w:top="1440" w:right="1440" w:bottom="1440"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A6A6A6"/>
      </w:pBdr>
    </w:pPr>
    <w:r/>
    <w:r>
      <w:rPr>
        <w:i/>
        <w:color w:val="595959"/>
        <w:sz w:val="16"/>
      </w:rPr>
      <w:t>Educational template — adapt to your quality system. Not a regulatory requirement.</w:t>
    </w:r>
  </w:p>
  <w:p>
    <w:r>
      <w:rPr>
        <w:color w:val="595959"/>
        <w:sz w:val="16"/>
      </w:rPr>
      <w:t xml:space="preserve">© 2026 Selim Medical Press · Tool T-23 · Page </w:t>
    </w:r>
    <w:r>
      <w:rPr>
        <w:color w:val="595959"/>
        <w:sz w:val="16"/>
      </w:rPr>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6A6A6"/>
      </w:pBdr>
    </w:pPr>
    <w:r/>
    <w:r>
      <w:rPr>
        <w:rFonts w:ascii="Calibri" w:hAnsi="Calibri"/>
        <w:color w:val="595959"/>
        <w:sz w:val="17"/>
      </w:rPr>
      <w:t>Selim Medical Press · Signal Management in Medical Device Vigilance · Tool T-23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mbria" w:hAnsi="Cambria" w:cs="Cambria" w:eastAsia="Cambria"/>
      <w:b/>
      <w:bCs/>
      <w:color w:val="17375E"/>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mbria" w:hAnsi="Cambria" w:cs="Cambria" w:eastAsia="Cambria"/>
      <w:b/>
      <w:bCs/>
      <w:color w:val="17375E"/>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Cambria" w:hAnsi="Cambria" w:cs="Cambria" w:eastAsia="Cambria"/>
      <w:b/>
      <w:bCs/>
      <w:color w:val="1737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Cambria" w:hAnsi="Cambria" w:cs="Cambria" w:eastAsia="Cambria"/>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eastAsia="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T-23 — Audit and Inspection Readiness Checklist</dc:title>
  <dc:subject>Signal Management in Medical Device Vigilance — companion toolkit</dc:subject>
  <dc:creator>Dr. Hafez Selim, MD, PhD</dc:creator>
  <cp:keywords>device vigilance; signal management; toolkit</cp:keywords>
  <dc:description>Selim Medical Press © 2026. Educational template.</dc:description>
  <cp:lastModifiedBy/>
  <cp:revision>1</cp:revision>
  <dcterms:created xsi:type="dcterms:W3CDTF">2013-12-23T23:15:00Z</dcterms:created>
  <dcterms:modified xsi:type="dcterms:W3CDTF">2013-12-23T23:15:00Z</dcterms:modified>
  <cp:category/>
</cp:coreProperties>
</file>